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FEF" w14:textId="25B28E05" w:rsidR="00C97E45" w:rsidRPr="00212345" w:rsidRDefault="000E5604" w:rsidP="005B6377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000000"/>
          <w:sz w:val="46"/>
          <w:szCs w:val="46"/>
        </w:rPr>
      </w:pPr>
      <w:r w:rsidRPr="000E5604">
        <w:rPr>
          <w:rFonts w:ascii="DINOT-Bold" w:hAnsi="DINOT-Bold" w:cs="DINOT-Bold"/>
          <w:b/>
          <w:bCs/>
          <w:noProof/>
          <w:color w:val="000000"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5031A3" wp14:editId="2F6F5A0F">
                <wp:simplePos x="0" y="0"/>
                <wp:positionH relativeFrom="column">
                  <wp:posOffset>4870450</wp:posOffset>
                </wp:positionH>
                <wp:positionV relativeFrom="paragraph">
                  <wp:posOffset>1905</wp:posOffset>
                </wp:positionV>
                <wp:extent cx="1994535" cy="1003300"/>
                <wp:effectExtent l="0" t="0" r="571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C597" w14:textId="6D28369E" w:rsidR="000E5604" w:rsidRDefault="000E5604" w:rsidP="000E5604">
                            <w:pPr>
                              <w:spacing w:after="600"/>
                            </w:pPr>
                            <w:r w:rsidRPr="00405172">
                              <w:rPr>
                                <w:noProof/>
                              </w:rPr>
                              <w:drawing>
                                <wp:inline distT="0" distB="0" distL="0" distR="0" wp14:anchorId="3AC44F0C" wp14:editId="75987F5D">
                                  <wp:extent cx="1790700" cy="863600"/>
                                  <wp:effectExtent l="0" t="0" r="0" b="0"/>
                                  <wp:docPr id="12" name="Picture 1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E8018FD-EE72-4CA8-9B98-376D960658F4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E8018FD-EE72-4CA8-9B98-376D960658F4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06" cy="868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031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5pt;margin-top:.15pt;width:157.05pt;height:7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" stroked="f">
                <v:textbox>
                  <w:txbxContent>
                    <w:p w14:paraId="2059C597" w14:textId="6D28369E" w:rsidR="000E5604" w:rsidRDefault="000E5604" w:rsidP="000E5604">
                      <w:pPr>
                        <w:spacing w:after="600"/>
                      </w:pPr>
                      <w:r w:rsidRPr="00405172">
                        <w:rPr>
                          <w:noProof/>
                        </w:rPr>
                        <w:drawing>
                          <wp:inline distT="0" distB="0" distL="0" distR="0" wp14:anchorId="3AC44F0C" wp14:editId="75987F5D">
                            <wp:extent cx="1790700" cy="863600"/>
                            <wp:effectExtent l="0" t="0" r="0" b="0"/>
                            <wp:docPr id="12" name="Picture 1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E8018FD-EE72-4CA8-9B98-376D960658F4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3">
                                      <a:extLst>
                                        <a:ext uri="{FF2B5EF4-FFF2-40B4-BE49-F238E27FC236}">
                                          <a16:creationId xmlns:a16="http://schemas.microsoft.com/office/drawing/2014/main" id="{7E8018FD-EE72-4CA8-9B98-376D960658F4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06" cy="868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7E45" w:rsidRPr="00212345">
        <w:rPr>
          <w:rFonts w:ascii="DINOT-Bold" w:hAnsi="DINOT-Bold" w:cs="DINOT-Bold"/>
          <w:b/>
          <w:bCs/>
          <w:color w:val="000000"/>
          <w:sz w:val="46"/>
          <w:szCs w:val="46"/>
        </w:rPr>
        <w:t>Local employer flexibilities</w:t>
      </w:r>
    </w:p>
    <w:p w14:paraId="64A76E75" w14:textId="2BC83315" w:rsidR="00C97E45" w:rsidRPr="002123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000000"/>
          <w:sz w:val="46"/>
          <w:szCs w:val="46"/>
        </w:rPr>
      </w:pPr>
      <w:r w:rsidRPr="00212345">
        <w:rPr>
          <w:rFonts w:ascii="DINOT-Bold" w:hAnsi="DINOT-Bold" w:cs="DINOT-Bold"/>
          <w:b/>
          <w:bCs/>
          <w:color w:val="000000"/>
          <w:sz w:val="46"/>
          <w:szCs w:val="46"/>
        </w:rPr>
        <w:t>available within Agenda for Change</w:t>
      </w:r>
    </w:p>
    <w:p w14:paraId="17E44EF7" w14:textId="77777777" w:rsidR="00212345" w:rsidRDefault="00212345" w:rsidP="005B6377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000000"/>
          <w:sz w:val="48"/>
          <w:szCs w:val="48"/>
        </w:rPr>
      </w:pPr>
    </w:p>
    <w:p w14:paraId="68096A04" w14:textId="4A1202DC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1: Pay structure (England only)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 xml:space="preserve">Pay progression in all pay bands linked to locally determined levels of performance (based on the nationally agreed principles) (Annex </w:t>
      </w:r>
      <w:r w:rsidR="002C32E6">
        <w:rPr>
          <w:rFonts w:ascii="DINOT-Light" w:hAnsi="DINOT-Light" w:cs="DINOT-Light"/>
          <w:color w:val="000000"/>
        </w:rPr>
        <w:t>23</w:t>
      </w:r>
      <w:r>
        <w:rPr>
          <w:rFonts w:ascii="DINOT-Light" w:hAnsi="DINOT-Light" w:cs="DINOT-Light"/>
          <w:color w:val="000000"/>
        </w:rPr>
        <w:t xml:space="preserve"> England). Pay progression beyond first four pay points in bands 8C, D and 9 </w:t>
      </w:r>
      <w:proofErr w:type="gramStart"/>
      <w:r>
        <w:rPr>
          <w:rFonts w:ascii="DINOT-Light" w:hAnsi="DINOT-Light" w:cs="DINOT-Light"/>
          <w:color w:val="000000"/>
        </w:rPr>
        <w:t>dependent</w:t>
      </w:r>
      <w:proofErr w:type="gramEnd"/>
      <w:r>
        <w:rPr>
          <w:rFonts w:ascii="DINOT-Light" w:hAnsi="DINOT-Light" w:cs="DINOT-Light"/>
          <w:color w:val="000000"/>
        </w:rPr>
        <w:t xml:space="preserve"> upon locally determined levels of performance. Progression points will be non-recurring and reviewed annually.</w:t>
      </w:r>
    </w:p>
    <w:p w14:paraId="5351F063" w14:textId="77777777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2C8CAC8A" w14:textId="69924C22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2: Maintaining round-the-clock services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 xml:space="preserve">On-call pay can be locally agreed but consistent with national principles (Annex </w:t>
      </w:r>
      <w:r w:rsidR="00CF31EC">
        <w:rPr>
          <w:rFonts w:ascii="DINOT-Light" w:hAnsi="DINOT-Light" w:cs="DINOT-Light"/>
          <w:color w:val="000000"/>
        </w:rPr>
        <w:t>29</w:t>
      </w:r>
      <w:r>
        <w:rPr>
          <w:rFonts w:ascii="DINOT-Light" w:hAnsi="DINOT-Light" w:cs="DINOT-Light"/>
          <w:color w:val="000000"/>
        </w:rPr>
        <w:t>).</w:t>
      </w:r>
    </w:p>
    <w:p w14:paraId="4154FDAF" w14:textId="77777777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2BC404CC" w14:textId="6B4359A1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</w:t>
      </w:r>
      <w:r w:rsidR="0058272B">
        <w:rPr>
          <w:rFonts w:ascii="DINOT-Bold" w:hAnsi="DINOT-Bold" w:cs="DINOT-Bold"/>
          <w:b/>
          <w:bCs/>
          <w:color w:val="E85625"/>
        </w:rPr>
        <w:t>4</w:t>
      </w:r>
      <w:r>
        <w:rPr>
          <w:rFonts w:ascii="DINOT-Bold" w:hAnsi="DINOT-Bold" w:cs="DINOT-Bold"/>
          <w:b/>
          <w:bCs/>
          <w:color w:val="E85625"/>
        </w:rPr>
        <w:t xml:space="preserve">: Pay in </w:t>
      </w:r>
      <w:proofErr w:type="gramStart"/>
      <w:r>
        <w:rPr>
          <w:rFonts w:ascii="DINOT-Bold" w:hAnsi="DINOT-Bold" w:cs="DINOT-Bold"/>
          <w:b/>
          <w:bCs/>
          <w:color w:val="E85625"/>
        </w:rPr>
        <w:t>high cost</w:t>
      </w:r>
      <w:proofErr w:type="gramEnd"/>
      <w:r>
        <w:rPr>
          <w:rFonts w:ascii="DINOT-Bold" w:hAnsi="DINOT-Bold" w:cs="DINOT-Bold"/>
          <w:b/>
          <w:bCs/>
          <w:color w:val="E85625"/>
        </w:rPr>
        <w:t xml:space="preserve"> areas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>Organisations can agree locally on harmonised rates across zones</w:t>
      </w:r>
    </w:p>
    <w:p w14:paraId="19F8D7B5" w14:textId="77777777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Light" w:hAnsi="DINOT-Light" w:cs="DINOT-Light"/>
          <w:color w:val="000000"/>
        </w:rPr>
        <w:t>(</w:t>
      </w:r>
      <w:proofErr w:type="gramStart"/>
      <w:r>
        <w:rPr>
          <w:rFonts w:ascii="DINOT-Light" w:hAnsi="DINOT-Light" w:cs="DINOT-Light"/>
          <w:color w:val="000000"/>
        </w:rPr>
        <w:t>where</w:t>
      </w:r>
      <w:proofErr w:type="gramEnd"/>
      <w:r>
        <w:rPr>
          <w:rFonts w:ascii="DINOT-Light" w:hAnsi="DINOT-Light" w:cs="DINOT-Light"/>
          <w:color w:val="000000"/>
        </w:rPr>
        <w:t xml:space="preserve"> staff are employed in more than one high cost area zone), subject to consultation with</w:t>
      </w:r>
    </w:p>
    <w:p w14:paraId="6A9E49B1" w14:textId="12A9FFED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Light" w:hAnsi="DINOT-Light" w:cs="DINOT-Light"/>
          <w:color w:val="000000"/>
        </w:rPr>
        <w:t>neighbouring employers. Increases to the level of supplements, or the introduction of supplements, can be proposed locally subject to nationally agreed criteria.</w:t>
      </w:r>
    </w:p>
    <w:p w14:paraId="3F8000F3" w14:textId="77777777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5D643E5D" w14:textId="6F1A89FC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</w:t>
      </w:r>
      <w:r w:rsidR="007449B2">
        <w:rPr>
          <w:rFonts w:ascii="DINOT-Bold" w:hAnsi="DINOT-Bold" w:cs="DINOT-Bold"/>
          <w:b/>
          <w:bCs/>
          <w:color w:val="E85625"/>
        </w:rPr>
        <w:t>5</w:t>
      </w:r>
      <w:r>
        <w:rPr>
          <w:rFonts w:ascii="DINOT-Bold" w:hAnsi="DINOT-Bold" w:cs="DINOT-Bold"/>
          <w:b/>
          <w:bCs/>
          <w:color w:val="E85625"/>
        </w:rPr>
        <w:t xml:space="preserve">: Recruitment and retention premia (RRP)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>Locally agreed RRPs can be applied to posts of a specific type or class.</w:t>
      </w:r>
    </w:p>
    <w:p w14:paraId="292CF1F3" w14:textId="77777777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72DB132A" w14:textId="0F67AF4F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12: Contractual continuity of service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 xml:space="preserve">Local employers have the discretion to </w:t>
      </w:r>
      <w:proofErr w:type="gramStart"/>
      <w:r>
        <w:rPr>
          <w:rFonts w:ascii="DINOT-Light" w:hAnsi="DINOT-Light" w:cs="DINOT-Light"/>
          <w:color w:val="000000"/>
        </w:rPr>
        <w:t>take into account</w:t>
      </w:r>
      <w:proofErr w:type="gramEnd"/>
      <w:r>
        <w:rPr>
          <w:rFonts w:ascii="DINOT-Light" w:hAnsi="DINOT-Light" w:cs="DINOT-Light"/>
          <w:color w:val="000000"/>
        </w:rPr>
        <w:t xml:space="preserve"> period/s of employment with employers outside the NHS, where these are judged to be relevant to NHS employment for agreements on redundancy, maternity, sick pay and annual leave.</w:t>
      </w:r>
    </w:p>
    <w:p w14:paraId="4E514ACB" w14:textId="77777777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64EFDA56" w14:textId="2D57BC5C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13: Annual leave and </w:t>
      </w:r>
      <w:proofErr w:type="gramStart"/>
      <w:r>
        <w:rPr>
          <w:rFonts w:ascii="DINOT-Bold" w:hAnsi="DINOT-Bold" w:cs="DINOT-Bold"/>
          <w:b/>
          <w:bCs/>
          <w:color w:val="E85625"/>
        </w:rPr>
        <w:t>general public</w:t>
      </w:r>
      <w:proofErr w:type="gramEnd"/>
      <w:r>
        <w:rPr>
          <w:rFonts w:ascii="DINOT-Bold" w:hAnsi="DINOT-Bold" w:cs="DINOT-Bold"/>
          <w:b/>
          <w:bCs/>
          <w:color w:val="E85625"/>
        </w:rPr>
        <w:t xml:space="preserve"> holidays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>Annual leave purchase schemes can be introduced,</w:t>
      </w:r>
      <w:r w:rsidR="00B11663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allowing employees to purchase additional annual leave each year.</w:t>
      </w:r>
    </w:p>
    <w:p w14:paraId="19E1D351" w14:textId="77777777" w:rsidR="00B11663" w:rsidRDefault="00B11663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</w:p>
    <w:p w14:paraId="41BE5327" w14:textId="22F2F2F9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14: Sickness absence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>Local employers have the discretion to extend the period of entitlement to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sick pay on full or half pay beyond the provisions in the agreement.</w:t>
      </w:r>
    </w:p>
    <w:p w14:paraId="12272514" w14:textId="77777777" w:rsidR="008A5292" w:rsidRDefault="008A5292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525E7FB3" w14:textId="2D34286F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15: Maternity leave and pay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>Local agreements can be made to provide additional maternity leave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and/or pay to staff and flexibility on how payments are made, for example a fixed monthly amount spread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over the whole maternity period. Local employers have the discretion to extend the defined periods for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breaks in service and to count other previous NHS service or relevant service with other employers.</w:t>
      </w:r>
    </w:p>
    <w:p w14:paraId="2BFD38D2" w14:textId="77777777" w:rsidR="008A5292" w:rsidRDefault="008A5292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11938672" w14:textId="4D7B1739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>Section 16: Redundancy</w:t>
      </w:r>
      <w:r w:rsidR="00AA2CD9">
        <w:rPr>
          <w:rFonts w:ascii="DINOT-Bold" w:hAnsi="DINOT-Bold" w:cs="DINOT-Bold"/>
          <w:b/>
          <w:bCs/>
          <w:color w:val="E85625"/>
        </w:rPr>
        <w:t xml:space="preserve"> pay</w:t>
      </w:r>
      <w:r>
        <w:rPr>
          <w:rFonts w:ascii="DINOT-Bold" w:hAnsi="DINOT-Bold" w:cs="DINOT-Bold"/>
          <w:b/>
          <w:bCs/>
          <w:color w:val="E85625"/>
        </w:rPr>
        <w:t xml:space="preserve">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>Local employers have the discretion to take account of any period or periods of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employment outside the NHS (where they are relevant to NHS employment) when calculating reckonable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service. There is flexibility for employers to agree early retirement in the interests of the service.</w:t>
      </w:r>
    </w:p>
    <w:p w14:paraId="47FA454A" w14:textId="77777777" w:rsidR="008A5292" w:rsidRDefault="008A5292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1344858D" w14:textId="46F1685B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17: Reimbursement of travel costs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>Flexibility to design and agree local arrangements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for reimbursement and lease vehicle policies.</w:t>
      </w:r>
    </w:p>
    <w:p w14:paraId="59636F1A" w14:textId="77777777" w:rsidR="008A5292" w:rsidRDefault="008A5292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71456EE6" w14:textId="28B7D533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18: Subsistence allowances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>Local agreements can be made which are more appropriate to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local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circumstances or which provide benefits beyond those in the agreement.</w:t>
      </w:r>
    </w:p>
    <w:p w14:paraId="1457132C" w14:textId="77777777" w:rsidR="008A5292" w:rsidRDefault="008A5292" w:rsidP="00212345">
      <w:pPr>
        <w:autoSpaceDE w:val="0"/>
        <w:autoSpaceDN w:val="0"/>
        <w:adjustRightInd w:val="0"/>
        <w:spacing w:after="0" w:line="240" w:lineRule="auto"/>
        <w:rPr>
          <w:rFonts w:ascii="DINOT-Bold" w:hAnsi="DINOT-Bold" w:cs="DINOT-Bold"/>
          <w:b/>
          <w:bCs/>
          <w:color w:val="E85625"/>
        </w:rPr>
      </w:pPr>
    </w:p>
    <w:p w14:paraId="4569218B" w14:textId="2AB8391A" w:rsidR="00C97E45" w:rsidRDefault="00C97E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  <w:r>
        <w:rPr>
          <w:rFonts w:ascii="DINOT-Bold" w:hAnsi="DINOT-Bold" w:cs="DINOT-Bold"/>
          <w:b/>
          <w:bCs/>
          <w:color w:val="E85625"/>
        </w:rPr>
        <w:t xml:space="preserve">Section 19: Other terms and conditions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 xml:space="preserve">Section 19 and Annex </w:t>
      </w:r>
      <w:r w:rsidR="00CF31EC">
        <w:rPr>
          <w:rFonts w:ascii="DINOT-Light" w:hAnsi="DINOT-Light" w:cs="DINOT-Light"/>
          <w:color w:val="000000"/>
        </w:rPr>
        <w:t>15</w:t>
      </w:r>
      <w:r>
        <w:rPr>
          <w:rFonts w:ascii="DINOT-Light" w:hAnsi="DINOT-Light" w:cs="DINOT-Light"/>
          <w:color w:val="000000"/>
        </w:rPr>
        <w:t xml:space="preserve"> of the handbook allow for terms and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conditions not covered by the handbook to be determined locally, following consultation with staff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representatives. For example, carrying over annual leave, special leave, removal expenses, phone</w:t>
      </w:r>
      <w:r w:rsidR="008A5292">
        <w:rPr>
          <w:rFonts w:ascii="DINOT-Light" w:hAnsi="DINOT-Light" w:cs="DINOT-Light"/>
          <w:color w:val="000000"/>
        </w:rPr>
        <w:t xml:space="preserve"> </w:t>
      </w:r>
      <w:r>
        <w:rPr>
          <w:rFonts w:ascii="DINOT-Light" w:hAnsi="DINOT-Light" w:cs="DINOT-Light"/>
          <w:color w:val="000000"/>
        </w:rPr>
        <w:t>expenses, protection of pay and terms and conditions of service and notice periods.</w:t>
      </w:r>
    </w:p>
    <w:p w14:paraId="058F1598" w14:textId="77777777" w:rsidR="00212345" w:rsidRDefault="00212345" w:rsidP="00212345">
      <w:pPr>
        <w:autoSpaceDE w:val="0"/>
        <w:autoSpaceDN w:val="0"/>
        <w:adjustRightInd w:val="0"/>
        <w:spacing w:after="0" w:line="240" w:lineRule="auto"/>
        <w:rPr>
          <w:rFonts w:ascii="DINOT-Light" w:hAnsi="DINOT-Light" w:cs="DINOT-Light"/>
          <w:color w:val="000000"/>
        </w:rPr>
      </w:pPr>
    </w:p>
    <w:p w14:paraId="756A19E7" w14:textId="78240ABB" w:rsidR="00711CC5" w:rsidRDefault="00C97E45" w:rsidP="00212345">
      <w:r>
        <w:rPr>
          <w:rFonts w:ascii="DINOT-Bold" w:hAnsi="DINOT-Bold" w:cs="DINOT-Bold"/>
          <w:b/>
          <w:bCs/>
          <w:color w:val="E85625"/>
        </w:rPr>
        <w:lastRenderedPageBreak/>
        <w:t xml:space="preserve">Section </w:t>
      </w:r>
      <w:r w:rsidR="00B35FB9">
        <w:rPr>
          <w:rFonts w:ascii="DINOT-Bold" w:hAnsi="DINOT-Bold" w:cs="DINOT-Bold"/>
          <w:b/>
          <w:bCs/>
          <w:color w:val="E85625"/>
        </w:rPr>
        <w:t>3</w:t>
      </w:r>
      <w:r w:rsidR="0065649B">
        <w:rPr>
          <w:rFonts w:ascii="DINOT-Bold" w:hAnsi="DINOT-Bold" w:cs="DINOT-Bold"/>
          <w:b/>
          <w:bCs/>
          <w:color w:val="E85625"/>
        </w:rPr>
        <w:t xml:space="preserve">3: Balancing work and life balance </w:t>
      </w:r>
      <w:r>
        <w:rPr>
          <w:rFonts w:ascii="DINOT-Bold" w:hAnsi="DINOT-Bold" w:cs="DINOT-Bold"/>
          <w:b/>
          <w:bCs/>
          <w:color w:val="000000"/>
        </w:rPr>
        <w:t xml:space="preserve">– </w:t>
      </w:r>
      <w:r>
        <w:rPr>
          <w:rFonts w:ascii="DINOT-Light" w:hAnsi="DINOT-Light" w:cs="DINOT-Light"/>
          <w:color w:val="000000"/>
        </w:rPr>
        <w:t>Freedom to develop local policies based on national principles.</w:t>
      </w:r>
    </w:p>
    <w:sectPr w:rsidR="00711CC5" w:rsidSect="0021234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45CA" w14:textId="77777777" w:rsidR="00530AD1" w:rsidRDefault="00530AD1" w:rsidP="00212345">
      <w:pPr>
        <w:spacing w:after="0" w:line="240" w:lineRule="auto"/>
      </w:pPr>
      <w:r>
        <w:separator/>
      </w:r>
    </w:p>
  </w:endnote>
  <w:endnote w:type="continuationSeparator" w:id="0">
    <w:p w14:paraId="69C27656" w14:textId="77777777" w:rsidR="00530AD1" w:rsidRDefault="00530AD1" w:rsidP="0021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Light">
    <w:altName w:val="Calibri"/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4587" w14:textId="77777777" w:rsidR="00530AD1" w:rsidRDefault="00530AD1" w:rsidP="00212345">
      <w:pPr>
        <w:spacing w:after="0" w:line="240" w:lineRule="auto"/>
      </w:pPr>
      <w:r>
        <w:separator/>
      </w:r>
    </w:p>
  </w:footnote>
  <w:footnote w:type="continuationSeparator" w:id="0">
    <w:p w14:paraId="4A2A38A0" w14:textId="77777777" w:rsidR="00530AD1" w:rsidRDefault="00530AD1" w:rsidP="0021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1CBD" w14:textId="663DBB61" w:rsidR="00D76081" w:rsidRDefault="00D76081" w:rsidP="00D7608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45"/>
    <w:rsid w:val="000E5604"/>
    <w:rsid w:val="00212345"/>
    <w:rsid w:val="002C32E6"/>
    <w:rsid w:val="00530AD1"/>
    <w:rsid w:val="0058272B"/>
    <w:rsid w:val="005B6377"/>
    <w:rsid w:val="0065649B"/>
    <w:rsid w:val="00711CC5"/>
    <w:rsid w:val="007449B2"/>
    <w:rsid w:val="008A5292"/>
    <w:rsid w:val="009216FC"/>
    <w:rsid w:val="00AA2CD9"/>
    <w:rsid w:val="00B11663"/>
    <w:rsid w:val="00B35FB9"/>
    <w:rsid w:val="00C97E45"/>
    <w:rsid w:val="00CF31EC"/>
    <w:rsid w:val="00D76081"/>
    <w:rsid w:val="00E02A3F"/>
    <w:rsid w:val="00E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44E53"/>
  <w15:chartTrackingRefBased/>
  <w15:docId w15:val="{96CC2124-C76A-49B7-81A0-B7BC11B7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45"/>
  </w:style>
  <w:style w:type="paragraph" w:styleId="Footer">
    <w:name w:val="footer"/>
    <w:basedOn w:val="Normal"/>
    <w:link w:val="FooterChar"/>
    <w:uiPriority w:val="99"/>
    <w:unhideWhenUsed/>
    <w:rsid w:val="0021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45"/>
  </w:style>
  <w:style w:type="character" w:styleId="CommentReference">
    <w:name w:val="annotation reference"/>
    <w:basedOn w:val="DefaultParagraphFont"/>
    <w:uiPriority w:val="99"/>
    <w:semiHidden/>
    <w:unhideWhenUsed/>
    <w:rsid w:val="005B6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3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FDC3A-406F-4CB2-BFF1-E8BF96BB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Aziz</dc:creator>
  <cp:keywords/>
  <dc:description/>
  <cp:lastModifiedBy>Danielle Lindley</cp:lastModifiedBy>
  <cp:revision>2</cp:revision>
  <dcterms:created xsi:type="dcterms:W3CDTF">2021-06-21T09:25:00Z</dcterms:created>
  <dcterms:modified xsi:type="dcterms:W3CDTF">2021-06-21T09:25:00Z</dcterms:modified>
</cp:coreProperties>
</file>