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8D24" w14:textId="475568D2" w:rsidR="00303E99" w:rsidRDefault="00303E99"/>
    <w:p w14:paraId="1A6C5AD1" w14:textId="013E3155" w:rsidR="00F52EDC" w:rsidRPr="00160392" w:rsidRDefault="00952217" w:rsidP="00F52EDC">
      <w:pPr>
        <w:rPr>
          <w:rFonts w:ascii="DINOT" w:eastAsiaTheme="minorEastAsia" w:hAnsi="DINOT" w:cs="DINOT"/>
          <w:b/>
          <w:bCs/>
          <w:noProof/>
          <w:color w:val="394A58"/>
          <w:spacing w:val="15"/>
          <w:sz w:val="32"/>
          <w:szCs w:val="32"/>
        </w:rPr>
      </w:pPr>
      <w:r w:rsidRPr="00160392">
        <w:rPr>
          <w:rFonts w:ascii="DINOT" w:eastAsiaTheme="minorEastAsia" w:hAnsi="DINOT" w:cs="DINOT"/>
          <w:b/>
          <w:bCs/>
          <w:noProof/>
          <w:color w:val="394A58"/>
          <w:spacing w:val="15"/>
          <w:sz w:val="32"/>
          <w:szCs w:val="32"/>
        </w:rPr>
        <w:t xml:space="preserve">Transferring to the 2021 </w:t>
      </w:r>
      <w:r w:rsidR="00EA754A" w:rsidRPr="00160392">
        <w:rPr>
          <w:rFonts w:ascii="DINOT" w:eastAsiaTheme="minorEastAsia" w:hAnsi="DINOT" w:cs="DINOT"/>
          <w:b/>
          <w:bCs/>
          <w:noProof/>
          <w:color w:val="394A58"/>
          <w:spacing w:val="15"/>
          <w:sz w:val="32"/>
          <w:szCs w:val="32"/>
        </w:rPr>
        <w:t>S</w:t>
      </w:r>
      <w:r w:rsidRPr="00160392">
        <w:rPr>
          <w:rFonts w:ascii="DINOT" w:eastAsiaTheme="minorEastAsia" w:hAnsi="DINOT" w:cs="DINOT"/>
          <w:b/>
          <w:bCs/>
          <w:noProof/>
          <w:color w:val="394A58"/>
          <w:spacing w:val="15"/>
          <w:sz w:val="32"/>
          <w:szCs w:val="32"/>
        </w:rPr>
        <w:t>pecial</w:t>
      </w:r>
      <w:r w:rsidR="006C6D92" w:rsidRPr="00160392">
        <w:rPr>
          <w:rFonts w:ascii="DINOT" w:eastAsiaTheme="minorEastAsia" w:hAnsi="DINOT" w:cs="DINOT"/>
          <w:b/>
          <w:bCs/>
          <w:noProof/>
          <w:color w:val="394A58"/>
          <w:spacing w:val="15"/>
          <w:sz w:val="32"/>
          <w:szCs w:val="32"/>
        </w:rPr>
        <w:t>ty</w:t>
      </w:r>
      <w:r w:rsidRPr="00160392">
        <w:rPr>
          <w:rFonts w:ascii="DINOT" w:eastAsiaTheme="minorEastAsia" w:hAnsi="DINOT" w:cs="DINOT"/>
          <w:b/>
          <w:bCs/>
          <w:noProof/>
          <w:color w:val="394A58"/>
          <w:spacing w:val="15"/>
          <w:sz w:val="32"/>
          <w:szCs w:val="32"/>
        </w:rPr>
        <w:t xml:space="preserve"> </w:t>
      </w:r>
      <w:r w:rsidR="00EA754A" w:rsidRPr="00160392">
        <w:rPr>
          <w:rFonts w:ascii="DINOT" w:eastAsiaTheme="minorEastAsia" w:hAnsi="DINOT" w:cs="DINOT"/>
          <w:b/>
          <w:bCs/>
          <w:noProof/>
          <w:color w:val="394A58"/>
          <w:spacing w:val="15"/>
          <w:sz w:val="32"/>
          <w:szCs w:val="32"/>
        </w:rPr>
        <w:t>D</w:t>
      </w:r>
      <w:r w:rsidRPr="00160392">
        <w:rPr>
          <w:rFonts w:ascii="DINOT" w:eastAsiaTheme="minorEastAsia" w:hAnsi="DINOT" w:cs="DINOT"/>
          <w:b/>
          <w:bCs/>
          <w:noProof/>
          <w:color w:val="394A58"/>
          <w:spacing w:val="15"/>
          <w:sz w:val="32"/>
          <w:szCs w:val="32"/>
        </w:rPr>
        <w:t xml:space="preserve">octor </w:t>
      </w:r>
      <w:r w:rsidR="006C6D92" w:rsidRPr="00160392">
        <w:rPr>
          <w:rFonts w:ascii="DINOT" w:eastAsiaTheme="minorEastAsia" w:hAnsi="DINOT" w:cs="DINOT"/>
          <w:b/>
          <w:bCs/>
          <w:noProof/>
          <w:color w:val="394A58"/>
          <w:spacing w:val="15"/>
          <w:sz w:val="32"/>
          <w:szCs w:val="32"/>
        </w:rPr>
        <w:t xml:space="preserve">and </w:t>
      </w:r>
      <w:r w:rsidR="00EA754A" w:rsidRPr="00160392">
        <w:rPr>
          <w:rFonts w:ascii="DINOT" w:eastAsiaTheme="minorEastAsia" w:hAnsi="DINOT" w:cs="DINOT"/>
          <w:b/>
          <w:bCs/>
          <w:noProof/>
          <w:color w:val="394A58"/>
          <w:spacing w:val="15"/>
          <w:sz w:val="32"/>
          <w:szCs w:val="32"/>
        </w:rPr>
        <w:t>S</w:t>
      </w:r>
      <w:r w:rsidR="006C6D92" w:rsidRPr="00160392">
        <w:rPr>
          <w:rFonts w:ascii="DINOT" w:eastAsiaTheme="minorEastAsia" w:hAnsi="DINOT" w:cs="DINOT"/>
          <w:b/>
          <w:bCs/>
          <w:noProof/>
          <w:color w:val="394A58"/>
          <w:spacing w:val="15"/>
          <w:sz w:val="32"/>
          <w:szCs w:val="32"/>
        </w:rPr>
        <w:t xml:space="preserve">pecialist grade </w:t>
      </w:r>
      <w:r w:rsidRPr="00160392">
        <w:rPr>
          <w:rFonts w:ascii="DINOT" w:eastAsiaTheme="minorEastAsia" w:hAnsi="DINOT" w:cs="DINOT"/>
          <w:b/>
          <w:bCs/>
          <w:noProof/>
          <w:color w:val="394A58"/>
          <w:spacing w:val="15"/>
          <w:sz w:val="32"/>
          <w:szCs w:val="32"/>
        </w:rPr>
        <w:t>contract</w:t>
      </w:r>
    </w:p>
    <w:p w14:paraId="42F6B989" w14:textId="39ED1B4E" w:rsidR="00635C1D" w:rsidRPr="004F7727" w:rsidRDefault="00952217">
      <w:pPr>
        <w:rPr>
          <w:rFonts w:ascii="DINOT" w:hAnsi="DINOT" w:cs="DINOT"/>
          <w:noProof/>
          <w:sz w:val="24"/>
          <w:szCs w:val="24"/>
        </w:rPr>
      </w:pPr>
      <w:r w:rsidRPr="004F7727">
        <w:rPr>
          <w:rFonts w:ascii="DINOT" w:hAnsi="DINOT" w:cs="DINOT"/>
          <w:noProof/>
          <w:sz w:val="24"/>
          <w:szCs w:val="24"/>
        </w:rPr>
        <w:t>T</w:t>
      </w:r>
      <w:r w:rsidR="008427C5" w:rsidRPr="004F7727">
        <w:rPr>
          <w:rFonts w:ascii="DINOT" w:hAnsi="DINOT" w:cs="DINOT"/>
          <w:noProof/>
          <w:sz w:val="24"/>
          <w:szCs w:val="24"/>
        </w:rPr>
        <w:t>his checklist sets out the information that employers will need to provide their SAS doctors to enable them to make an informed choice about moving to the new contract</w:t>
      </w:r>
      <w:r w:rsidR="00F52EDC" w:rsidRPr="004F7727">
        <w:rPr>
          <w:rFonts w:ascii="DINOT" w:hAnsi="DINOT" w:cs="DINOT"/>
          <w:noProof/>
          <w:sz w:val="24"/>
          <w:szCs w:val="24"/>
        </w:rPr>
        <w:t>.</w:t>
      </w:r>
    </w:p>
    <w:tbl>
      <w:tblPr>
        <w:tblStyle w:val="TableGrid"/>
        <w:tblW w:w="10065" w:type="dxa"/>
        <w:tblInd w:w="-572" w:type="dxa"/>
        <w:tblLook w:val="04A0" w:firstRow="1" w:lastRow="0" w:firstColumn="1" w:lastColumn="0" w:noHBand="0" w:noVBand="1"/>
      </w:tblPr>
      <w:tblGrid>
        <w:gridCol w:w="9356"/>
        <w:gridCol w:w="709"/>
      </w:tblGrid>
      <w:tr w:rsidR="00635C1D" w:rsidRPr="000B05B1" w14:paraId="35528DE2" w14:textId="77777777" w:rsidTr="00975A3A">
        <w:tc>
          <w:tcPr>
            <w:tcW w:w="9356" w:type="dxa"/>
            <w:shd w:val="clear" w:color="auto" w:fill="952D98"/>
          </w:tcPr>
          <w:p w14:paraId="4778036B" w14:textId="1918C1EC" w:rsidR="00635C1D" w:rsidRPr="00202B80" w:rsidRDefault="00635C1D">
            <w:pPr>
              <w:rPr>
                <w:rFonts w:ascii="DINOT" w:hAnsi="DINOT" w:cs="DINOT"/>
                <w:noProof/>
                <w:sz w:val="24"/>
                <w:szCs w:val="24"/>
              </w:rPr>
            </w:pPr>
            <w:r w:rsidRPr="00202B80">
              <w:rPr>
                <w:rFonts w:ascii="DINOT" w:hAnsi="DINOT" w:cs="DINOT"/>
                <w:noProof/>
                <w:color w:val="FFFFFF" w:themeColor="background1"/>
                <w:sz w:val="24"/>
                <w:szCs w:val="24"/>
              </w:rPr>
              <w:t>Action</w:t>
            </w:r>
            <w:r w:rsidR="00DD2713">
              <w:rPr>
                <w:rFonts w:ascii="DINOT" w:hAnsi="DINOT" w:cs="DINOT"/>
                <w:noProof/>
                <w:color w:val="FFFFFF" w:themeColor="background1"/>
                <w:sz w:val="24"/>
                <w:szCs w:val="24"/>
              </w:rPr>
              <w:t xml:space="preserve"> </w:t>
            </w:r>
          </w:p>
        </w:tc>
        <w:tc>
          <w:tcPr>
            <w:tcW w:w="709" w:type="dxa"/>
            <w:shd w:val="clear" w:color="auto" w:fill="952D98"/>
          </w:tcPr>
          <w:p w14:paraId="62280B9E" w14:textId="77777777" w:rsidR="00635C1D" w:rsidRPr="000B05B1" w:rsidRDefault="00635C1D" w:rsidP="00975A3A">
            <w:pPr>
              <w:pStyle w:val="ListParagraph"/>
              <w:numPr>
                <w:ilvl w:val="0"/>
                <w:numId w:val="1"/>
              </w:numPr>
              <w:jc w:val="center"/>
              <w:rPr>
                <w:rFonts w:ascii="Arial" w:hAnsi="Arial" w:cs="Arial"/>
                <w:b/>
                <w:bCs/>
                <w:color w:val="FFFFFF" w:themeColor="background1"/>
              </w:rPr>
            </w:pPr>
          </w:p>
        </w:tc>
      </w:tr>
      <w:tr w:rsidR="006537CC" w:rsidRPr="000B05B1" w14:paraId="3C2175A3" w14:textId="77777777" w:rsidTr="00975A3A">
        <w:tc>
          <w:tcPr>
            <w:tcW w:w="9356" w:type="dxa"/>
          </w:tcPr>
          <w:p w14:paraId="3F960988" w14:textId="77777777" w:rsidR="006537CC" w:rsidRDefault="006537CC">
            <w:pPr>
              <w:rPr>
                <w:rFonts w:ascii="DINOT" w:hAnsi="DINOT" w:cs="DINOT"/>
                <w:noProof/>
                <w:color w:val="394A58"/>
                <w:sz w:val="24"/>
                <w:szCs w:val="24"/>
              </w:rPr>
            </w:pPr>
            <w:r>
              <w:rPr>
                <w:rFonts w:ascii="DINOT" w:hAnsi="DINOT" w:cs="DINOT"/>
                <w:noProof/>
                <w:color w:val="394A58"/>
                <w:sz w:val="24"/>
                <w:szCs w:val="24"/>
              </w:rPr>
              <w:t xml:space="preserve">Eligibility </w:t>
            </w:r>
          </w:p>
          <w:p w14:paraId="3F020EF3" w14:textId="6393FE90" w:rsidR="006537CC" w:rsidRPr="009142AF" w:rsidRDefault="006537CC">
            <w:pPr>
              <w:rPr>
                <w:rFonts w:ascii="DINOT" w:hAnsi="DINOT" w:cs="DINOT"/>
                <w:noProof/>
                <w:color w:val="394A58"/>
                <w:sz w:val="24"/>
                <w:szCs w:val="24"/>
              </w:rPr>
            </w:pPr>
            <w:r w:rsidRPr="00226916">
              <w:rPr>
                <w:rFonts w:ascii="DINOT" w:hAnsi="DINOT" w:cs="DINOT"/>
                <w:noProof/>
                <w:sz w:val="24"/>
                <w:szCs w:val="24"/>
              </w:rPr>
              <w:t>SAS doctors will need to be aware of which 2021 contract they will be eligible to transfer to</w:t>
            </w:r>
            <w:r w:rsidR="00226916">
              <w:rPr>
                <w:rFonts w:ascii="DINOT" w:hAnsi="DINOT" w:cs="DINOT"/>
                <w:noProof/>
                <w:sz w:val="24"/>
                <w:szCs w:val="24"/>
              </w:rPr>
              <w:t xml:space="preserve"> based on their current contract of employement. </w:t>
            </w:r>
          </w:p>
        </w:tc>
        <w:tc>
          <w:tcPr>
            <w:tcW w:w="709" w:type="dxa"/>
          </w:tcPr>
          <w:p w14:paraId="4D04619C" w14:textId="77777777" w:rsidR="006537CC" w:rsidRPr="000B05B1" w:rsidRDefault="006537CC">
            <w:pPr>
              <w:rPr>
                <w:rFonts w:ascii="Arial" w:hAnsi="Arial" w:cs="Arial"/>
              </w:rPr>
            </w:pPr>
          </w:p>
        </w:tc>
      </w:tr>
      <w:tr w:rsidR="00635C1D" w:rsidRPr="000B05B1" w14:paraId="2A58777A" w14:textId="77777777" w:rsidTr="00975A3A">
        <w:tc>
          <w:tcPr>
            <w:tcW w:w="9356" w:type="dxa"/>
          </w:tcPr>
          <w:p w14:paraId="079A4070" w14:textId="1081348C" w:rsidR="00635C1D" w:rsidRPr="009142AF" w:rsidRDefault="00635C1D">
            <w:pPr>
              <w:rPr>
                <w:rFonts w:ascii="DINOT" w:hAnsi="DINOT" w:cs="DINOT"/>
                <w:noProof/>
                <w:color w:val="394A58"/>
                <w:sz w:val="24"/>
                <w:szCs w:val="24"/>
              </w:rPr>
            </w:pPr>
            <w:r w:rsidRPr="009142AF">
              <w:rPr>
                <w:rFonts w:ascii="DINOT" w:hAnsi="DINOT" w:cs="DINOT"/>
                <w:noProof/>
                <w:color w:val="394A58"/>
                <w:sz w:val="24"/>
                <w:szCs w:val="24"/>
              </w:rPr>
              <w:t>Changes to the role</w:t>
            </w:r>
          </w:p>
          <w:p w14:paraId="3B19D6A4" w14:textId="39C2E79F" w:rsidR="003E4710" w:rsidRPr="00202B80" w:rsidRDefault="003E4710">
            <w:pPr>
              <w:rPr>
                <w:rFonts w:ascii="DINOT" w:hAnsi="DINOT" w:cs="DINOT"/>
                <w:noProof/>
                <w:sz w:val="24"/>
                <w:szCs w:val="24"/>
              </w:rPr>
            </w:pPr>
            <w:r w:rsidRPr="00202B80">
              <w:rPr>
                <w:rFonts w:ascii="DINOT" w:hAnsi="DINOT" w:cs="DINOT"/>
                <w:noProof/>
                <w:sz w:val="24"/>
                <w:szCs w:val="24"/>
              </w:rPr>
              <w:t>Provide the key contractual changes</w:t>
            </w:r>
            <w:r w:rsidR="00F52EDC" w:rsidRPr="00202B80">
              <w:rPr>
                <w:rFonts w:ascii="DINOT" w:hAnsi="DINOT" w:cs="DINOT"/>
                <w:noProof/>
                <w:sz w:val="24"/>
                <w:szCs w:val="24"/>
              </w:rPr>
              <w:t xml:space="preserve"> </w:t>
            </w:r>
            <w:r w:rsidR="008427C5" w:rsidRPr="00202B80">
              <w:rPr>
                <w:rFonts w:ascii="DINOT" w:hAnsi="DINOT" w:cs="DINOT"/>
                <w:noProof/>
                <w:sz w:val="24"/>
                <w:szCs w:val="24"/>
              </w:rPr>
              <w:t xml:space="preserve">and make doctors aware a job plan review will take place </w:t>
            </w:r>
            <w:r w:rsidR="0073498C" w:rsidRPr="00202B80">
              <w:rPr>
                <w:rFonts w:ascii="DINOT" w:hAnsi="DINOT" w:cs="DINOT"/>
                <w:noProof/>
                <w:sz w:val="24"/>
                <w:szCs w:val="24"/>
              </w:rPr>
              <w:t>in advance of</w:t>
            </w:r>
            <w:r w:rsidR="008427C5" w:rsidRPr="00202B80">
              <w:rPr>
                <w:rFonts w:ascii="DINOT" w:hAnsi="DINOT" w:cs="DINOT"/>
                <w:noProof/>
                <w:sz w:val="24"/>
                <w:szCs w:val="24"/>
              </w:rPr>
              <w:t xml:space="preserve"> mov</w:t>
            </w:r>
            <w:r w:rsidR="0073498C" w:rsidRPr="00202B80">
              <w:rPr>
                <w:rFonts w:ascii="DINOT" w:hAnsi="DINOT" w:cs="DINOT"/>
                <w:noProof/>
                <w:sz w:val="24"/>
                <w:szCs w:val="24"/>
              </w:rPr>
              <w:t>ing</w:t>
            </w:r>
            <w:r w:rsidR="008427C5" w:rsidRPr="00202B80">
              <w:rPr>
                <w:rFonts w:ascii="DINOT" w:hAnsi="DINOT" w:cs="DINOT"/>
                <w:noProof/>
                <w:sz w:val="24"/>
                <w:szCs w:val="24"/>
              </w:rPr>
              <w:t xml:space="preserve"> to the 2021 contract to incorporate </w:t>
            </w:r>
            <w:r w:rsidR="00E90E8C" w:rsidRPr="00202B80">
              <w:rPr>
                <w:rFonts w:ascii="DINOT" w:hAnsi="DINOT" w:cs="DINOT"/>
                <w:noProof/>
                <w:sz w:val="24"/>
                <w:szCs w:val="24"/>
              </w:rPr>
              <w:t xml:space="preserve">any necessary </w:t>
            </w:r>
            <w:r w:rsidR="008427C5" w:rsidRPr="00202B80">
              <w:rPr>
                <w:rFonts w:ascii="DINOT" w:hAnsi="DINOT" w:cs="DINOT"/>
                <w:noProof/>
                <w:sz w:val="24"/>
                <w:szCs w:val="24"/>
              </w:rPr>
              <w:t>changes.</w:t>
            </w:r>
          </w:p>
        </w:tc>
        <w:tc>
          <w:tcPr>
            <w:tcW w:w="709" w:type="dxa"/>
          </w:tcPr>
          <w:p w14:paraId="694C2C9D" w14:textId="77777777" w:rsidR="00635C1D" w:rsidRPr="000B05B1" w:rsidRDefault="00635C1D">
            <w:pPr>
              <w:rPr>
                <w:rFonts w:ascii="Arial" w:hAnsi="Arial" w:cs="Arial"/>
              </w:rPr>
            </w:pPr>
          </w:p>
        </w:tc>
      </w:tr>
      <w:tr w:rsidR="00635C1D" w:rsidRPr="000B05B1" w14:paraId="51E943F5" w14:textId="77777777" w:rsidTr="00975A3A">
        <w:tc>
          <w:tcPr>
            <w:tcW w:w="9356" w:type="dxa"/>
          </w:tcPr>
          <w:p w14:paraId="748879B4" w14:textId="2819B712" w:rsidR="00197C8D" w:rsidRPr="009142AF" w:rsidRDefault="00635C1D">
            <w:pPr>
              <w:rPr>
                <w:rFonts w:ascii="DINOT" w:hAnsi="DINOT" w:cs="DINOT"/>
                <w:noProof/>
                <w:color w:val="394A58"/>
                <w:sz w:val="24"/>
                <w:szCs w:val="24"/>
              </w:rPr>
            </w:pPr>
            <w:r w:rsidRPr="009142AF">
              <w:rPr>
                <w:rFonts w:ascii="DINOT" w:hAnsi="DINOT" w:cs="DINOT"/>
                <w:noProof/>
                <w:color w:val="394A58"/>
                <w:sz w:val="24"/>
                <w:szCs w:val="24"/>
              </w:rPr>
              <w:t>Pay</w:t>
            </w:r>
          </w:p>
          <w:p w14:paraId="0EA82372" w14:textId="64A14595" w:rsidR="00635C1D" w:rsidRPr="009142AF" w:rsidRDefault="00635C1D">
            <w:pPr>
              <w:rPr>
                <w:rFonts w:ascii="DINOT" w:hAnsi="DINOT" w:cs="DINOT"/>
                <w:noProof/>
                <w:color w:val="394A58"/>
                <w:sz w:val="24"/>
                <w:szCs w:val="24"/>
              </w:rPr>
            </w:pPr>
            <w:r w:rsidRPr="009142AF">
              <w:rPr>
                <w:rFonts w:ascii="DINOT" w:hAnsi="DINOT" w:cs="DINOT"/>
                <w:noProof/>
                <w:sz w:val="24"/>
                <w:szCs w:val="24"/>
              </w:rPr>
              <w:t xml:space="preserve">Doctors will need to know how their pay will change if they move onto </w:t>
            </w:r>
            <w:r w:rsidR="007C49BC">
              <w:rPr>
                <w:rFonts w:ascii="DINOT" w:hAnsi="DINOT" w:cs="DINOT"/>
                <w:noProof/>
                <w:sz w:val="24"/>
                <w:szCs w:val="24"/>
              </w:rPr>
              <w:t xml:space="preserve">the new contract. </w:t>
            </w:r>
          </w:p>
          <w:p w14:paraId="1EEC4123" w14:textId="2D11604D" w:rsidR="00197C8D" w:rsidRPr="000B05B1" w:rsidRDefault="00197C8D">
            <w:pPr>
              <w:rPr>
                <w:rFonts w:ascii="Arial" w:hAnsi="Arial" w:cs="Arial"/>
              </w:rPr>
            </w:pPr>
          </w:p>
        </w:tc>
        <w:tc>
          <w:tcPr>
            <w:tcW w:w="709" w:type="dxa"/>
          </w:tcPr>
          <w:p w14:paraId="688BAFEF" w14:textId="77777777" w:rsidR="00635C1D" w:rsidRPr="000B05B1" w:rsidRDefault="00635C1D">
            <w:pPr>
              <w:rPr>
                <w:rFonts w:ascii="Arial" w:hAnsi="Arial" w:cs="Arial"/>
              </w:rPr>
            </w:pPr>
          </w:p>
        </w:tc>
      </w:tr>
      <w:tr w:rsidR="00635C1D" w:rsidRPr="000B05B1" w14:paraId="08109108" w14:textId="77777777" w:rsidTr="00975A3A">
        <w:tc>
          <w:tcPr>
            <w:tcW w:w="9356" w:type="dxa"/>
          </w:tcPr>
          <w:p w14:paraId="6F3AAD9E" w14:textId="38338F68" w:rsidR="00197C8D" w:rsidRPr="00310496" w:rsidRDefault="00635C1D">
            <w:pPr>
              <w:rPr>
                <w:rFonts w:ascii="DINOT" w:hAnsi="DINOT" w:cs="DINOT"/>
                <w:noProof/>
                <w:color w:val="394A58"/>
                <w:sz w:val="24"/>
                <w:szCs w:val="24"/>
              </w:rPr>
            </w:pPr>
            <w:r w:rsidRPr="00310496">
              <w:rPr>
                <w:rFonts w:ascii="DINOT" w:hAnsi="DINOT" w:cs="DINOT"/>
                <w:noProof/>
                <w:color w:val="394A58"/>
                <w:sz w:val="24"/>
                <w:szCs w:val="24"/>
              </w:rPr>
              <w:t>Pay protection</w:t>
            </w:r>
          </w:p>
          <w:p w14:paraId="6192FECE" w14:textId="7CC94D7B" w:rsidR="00965B52" w:rsidRPr="009142AF" w:rsidRDefault="00965B52">
            <w:pPr>
              <w:rPr>
                <w:rFonts w:ascii="DINOT" w:hAnsi="DINOT" w:cs="DINOT"/>
                <w:noProof/>
                <w:sz w:val="24"/>
                <w:szCs w:val="24"/>
              </w:rPr>
            </w:pPr>
            <w:r w:rsidRPr="009142AF">
              <w:rPr>
                <w:rFonts w:ascii="DINOT" w:hAnsi="DINOT" w:cs="DINOT"/>
                <w:noProof/>
                <w:sz w:val="24"/>
                <w:szCs w:val="24"/>
              </w:rPr>
              <w:t xml:space="preserve">Where an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 xml:space="preserve">pecialist transferring to the new </w:t>
            </w:r>
            <w:r w:rsidR="00EA754A" w:rsidRPr="009142AF">
              <w:rPr>
                <w:rFonts w:ascii="DINOT" w:hAnsi="DINOT" w:cs="DINOT"/>
                <w:noProof/>
                <w:sz w:val="24"/>
                <w:szCs w:val="24"/>
              </w:rPr>
              <w:t>S</w:t>
            </w:r>
            <w:r w:rsidR="00E90E8C" w:rsidRPr="009142AF">
              <w:rPr>
                <w:rFonts w:ascii="DINOT" w:hAnsi="DINOT" w:cs="DINOT"/>
                <w:noProof/>
                <w:sz w:val="24"/>
                <w:szCs w:val="24"/>
              </w:rPr>
              <w:t xml:space="preserve">pecialist </w:t>
            </w:r>
            <w:r w:rsidRPr="009142AF">
              <w:rPr>
                <w:rFonts w:ascii="DINOT" w:hAnsi="DINOT" w:cs="DINOT"/>
                <w:noProof/>
                <w:sz w:val="24"/>
                <w:szCs w:val="24"/>
              </w:rPr>
              <w:t xml:space="preserve">contract has a previous basic salary higher than the top of the new proposed </w:t>
            </w:r>
            <w:r w:rsidR="00EA754A" w:rsidRPr="009142AF">
              <w:rPr>
                <w:rFonts w:ascii="DINOT" w:hAnsi="DINOT" w:cs="DINOT"/>
                <w:noProof/>
                <w:sz w:val="24"/>
                <w:szCs w:val="24"/>
              </w:rPr>
              <w:t>S</w:t>
            </w:r>
            <w:r w:rsidRPr="009142AF">
              <w:rPr>
                <w:rFonts w:ascii="DINOT" w:hAnsi="DINOT" w:cs="DINOT"/>
                <w:noProof/>
                <w:sz w:val="24"/>
                <w:szCs w:val="24"/>
              </w:rPr>
              <w:t>pecialist grade, their pay, as of 31 March 2021 would be pay protected on a marked time basis</w:t>
            </w:r>
            <w:r w:rsidR="00083C67" w:rsidRPr="009142AF">
              <w:rPr>
                <w:rFonts w:ascii="DINOT" w:hAnsi="DINOT" w:cs="DINOT"/>
                <w:noProof/>
                <w:sz w:val="24"/>
                <w:szCs w:val="24"/>
              </w:rPr>
              <w:t>.</w:t>
            </w:r>
          </w:p>
          <w:p w14:paraId="7CE0E990" w14:textId="71A1A710" w:rsidR="00197C8D" w:rsidRPr="00083C67" w:rsidRDefault="00197C8D">
            <w:pPr>
              <w:rPr>
                <w:rFonts w:ascii="Arial" w:hAnsi="Arial" w:cs="Arial"/>
                <w:b/>
                <w:bCs/>
              </w:rPr>
            </w:pPr>
          </w:p>
        </w:tc>
        <w:tc>
          <w:tcPr>
            <w:tcW w:w="709" w:type="dxa"/>
          </w:tcPr>
          <w:p w14:paraId="5B6D382A" w14:textId="77777777" w:rsidR="00635C1D" w:rsidRPr="000B05B1" w:rsidRDefault="00635C1D">
            <w:pPr>
              <w:rPr>
                <w:rFonts w:ascii="Arial" w:hAnsi="Arial" w:cs="Arial"/>
              </w:rPr>
            </w:pPr>
          </w:p>
        </w:tc>
      </w:tr>
      <w:tr w:rsidR="00635C1D" w:rsidRPr="000B05B1" w14:paraId="15218B1A" w14:textId="77777777" w:rsidTr="00975A3A">
        <w:tc>
          <w:tcPr>
            <w:tcW w:w="9356" w:type="dxa"/>
          </w:tcPr>
          <w:p w14:paraId="1E29EABC" w14:textId="1D8F19A7" w:rsidR="00197C8D" w:rsidRPr="00310496" w:rsidRDefault="00635C1D">
            <w:pPr>
              <w:rPr>
                <w:rFonts w:ascii="DINOT" w:hAnsi="DINOT" w:cs="DINOT"/>
                <w:noProof/>
                <w:color w:val="394A58"/>
                <w:sz w:val="24"/>
                <w:szCs w:val="24"/>
              </w:rPr>
            </w:pPr>
            <w:r w:rsidRPr="00310496">
              <w:rPr>
                <w:rFonts w:ascii="DINOT" w:hAnsi="DINOT" w:cs="DINOT"/>
                <w:noProof/>
                <w:color w:val="394A58"/>
                <w:sz w:val="24"/>
                <w:szCs w:val="24"/>
              </w:rPr>
              <w:t>Pension</w:t>
            </w:r>
          </w:p>
          <w:p w14:paraId="17995D6C" w14:textId="29F77A2F" w:rsidR="00635C1D" w:rsidRPr="009142AF" w:rsidRDefault="00635C1D">
            <w:pPr>
              <w:rPr>
                <w:rFonts w:ascii="DINOT" w:hAnsi="DINOT" w:cs="DINOT"/>
                <w:noProof/>
                <w:sz w:val="24"/>
                <w:szCs w:val="24"/>
              </w:rPr>
            </w:pPr>
            <w:r w:rsidRPr="009142AF">
              <w:rPr>
                <w:rFonts w:ascii="DINOT" w:hAnsi="DINOT" w:cs="DINOT"/>
                <w:noProof/>
                <w:sz w:val="24"/>
                <w:szCs w:val="24"/>
              </w:rPr>
              <w:t>Explain</w:t>
            </w:r>
            <w:r w:rsidRPr="000B05B1">
              <w:rPr>
                <w:rFonts w:ascii="Arial" w:hAnsi="Arial" w:cs="Arial"/>
              </w:rPr>
              <w:t xml:space="preserve"> </w:t>
            </w:r>
            <w:hyperlink r:id="rId10" w:anchor="Employer" w:history="1">
              <w:r w:rsidRPr="009142AF">
                <w:rPr>
                  <w:rStyle w:val="Hyperlink"/>
                  <w:rFonts w:ascii="DINOT" w:hAnsi="DINOT" w:cs="DINOT"/>
                  <w:noProof/>
                  <w:sz w:val="24"/>
                  <w:szCs w:val="24"/>
                </w:rPr>
                <w:t>employee pension contribution rates</w:t>
              </w:r>
            </w:hyperlink>
            <w:r w:rsidRPr="009142AF">
              <w:rPr>
                <w:rFonts w:ascii="DINOT" w:hAnsi="DINOT" w:cs="DINOT"/>
                <w:noProof/>
                <w:sz w:val="24"/>
                <w:szCs w:val="24"/>
              </w:rPr>
              <w:t xml:space="preserve">, </w:t>
            </w:r>
            <w:r w:rsidR="00952217" w:rsidRPr="009142AF">
              <w:rPr>
                <w:rFonts w:ascii="DINOT" w:hAnsi="DINOT" w:cs="DINOT"/>
                <w:noProof/>
                <w:sz w:val="24"/>
                <w:szCs w:val="24"/>
              </w:rPr>
              <w:t>s</w:t>
            </w:r>
            <w:r w:rsidRPr="009142AF">
              <w:rPr>
                <w:rFonts w:ascii="DINOT" w:hAnsi="DINOT" w:cs="DINOT"/>
                <w:noProof/>
                <w:sz w:val="24"/>
                <w:szCs w:val="24"/>
              </w:rPr>
              <w:t>o doctors can assess whether they are likely to move into a higher contribution bracket as a result of any change.</w:t>
            </w:r>
          </w:p>
          <w:p w14:paraId="7E98975A" w14:textId="15D7EC85" w:rsidR="00197C8D" w:rsidRPr="000B05B1" w:rsidRDefault="00197C8D">
            <w:pPr>
              <w:rPr>
                <w:rFonts w:ascii="Arial" w:hAnsi="Arial" w:cs="Arial"/>
              </w:rPr>
            </w:pPr>
          </w:p>
        </w:tc>
        <w:tc>
          <w:tcPr>
            <w:tcW w:w="709" w:type="dxa"/>
          </w:tcPr>
          <w:p w14:paraId="3EF3416B" w14:textId="77777777" w:rsidR="00635C1D" w:rsidRPr="000B05B1" w:rsidRDefault="00635C1D">
            <w:pPr>
              <w:rPr>
                <w:rFonts w:ascii="Arial" w:hAnsi="Arial" w:cs="Arial"/>
              </w:rPr>
            </w:pPr>
          </w:p>
        </w:tc>
      </w:tr>
      <w:tr w:rsidR="002140DD" w:rsidRPr="000B05B1" w14:paraId="573A82A4" w14:textId="77777777" w:rsidTr="00975A3A">
        <w:tc>
          <w:tcPr>
            <w:tcW w:w="9356" w:type="dxa"/>
          </w:tcPr>
          <w:p w14:paraId="40D0DA37" w14:textId="74C48F9C" w:rsidR="00197C8D" w:rsidRPr="009142AF" w:rsidRDefault="002140DD" w:rsidP="002140DD">
            <w:pPr>
              <w:rPr>
                <w:rFonts w:ascii="DINOT" w:hAnsi="DINOT" w:cs="DINOT"/>
                <w:noProof/>
                <w:color w:val="394A58"/>
                <w:sz w:val="24"/>
                <w:szCs w:val="24"/>
              </w:rPr>
            </w:pPr>
            <w:r w:rsidRPr="009142AF">
              <w:rPr>
                <w:rFonts w:ascii="DINOT" w:hAnsi="DINOT" w:cs="DINOT"/>
                <w:noProof/>
                <w:color w:val="394A58"/>
                <w:sz w:val="24"/>
                <w:szCs w:val="24"/>
              </w:rPr>
              <w:t>Entry requirements</w:t>
            </w:r>
          </w:p>
          <w:p w14:paraId="50872A07" w14:textId="40CA9C19" w:rsidR="002140DD" w:rsidRPr="009142AF" w:rsidRDefault="002140DD" w:rsidP="002140DD">
            <w:pPr>
              <w:rPr>
                <w:rFonts w:ascii="DINOT" w:hAnsi="DINOT" w:cs="DINOT"/>
                <w:noProof/>
                <w:sz w:val="24"/>
                <w:szCs w:val="24"/>
              </w:rPr>
            </w:pPr>
            <w:r w:rsidRPr="009142AF">
              <w:rPr>
                <w:rFonts w:ascii="DINOT" w:hAnsi="DINOT" w:cs="DINOT"/>
                <w:noProof/>
                <w:sz w:val="24"/>
                <w:szCs w:val="24"/>
              </w:rPr>
              <w:t xml:space="preserve">2008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 xml:space="preserve">pecialist and pre-2008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pecialist grades moving to the new</w:t>
            </w:r>
            <w:r w:rsidR="00F003E3">
              <w:rPr>
                <w:rFonts w:ascii="DINOT" w:hAnsi="DINOT" w:cs="DINOT"/>
                <w:noProof/>
                <w:sz w:val="24"/>
                <w:szCs w:val="24"/>
              </w:rPr>
              <w:t xml:space="preserve"> Specialist</w:t>
            </w:r>
            <w:r w:rsidRPr="009142AF">
              <w:rPr>
                <w:rFonts w:ascii="DINOT" w:hAnsi="DINOT" w:cs="DINOT"/>
                <w:noProof/>
                <w:sz w:val="24"/>
                <w:szCs w:val="24"/>
              </w:rPr>
              <w:t xml:space="preserve"> contract, must evidence that they meet the entry requirements for the Specialist grade.</w:t>
            </w:r>
          </w:p>
          <w:p w14:paraId="2661F843" w14:textId="7F03D173" w:rsidR="00197C8D" w:rsidRPr="000B05B1" w:rsidRDefault="00197C8D" w:rsidP="002140DD">
            <w:pPr>
              <w:rPr>
                <w:rFonts w:ascii="Arial" w:hAnsi="Arial" w:cs="Arial"/>
                <w:b/>
                <w:bCs/>
                <w:color w:val="394A58"/>
              </w:rPr>
            </w:pPr>
          </w:p>
        </w:tc>
        <w:tc>
          <w:tcPr>
            <w:tcW w:w="709" w:type="dxa"/>
          </w:tcPr>
          <w:p w14:paraId="177DFC08" w14:textId="77777777" w:rsidR="002140DD" w:rsidRPr="000B05B1" w:rsidRDefault="002140DD">
            <w:pPr>
              <w:rPr>
                <w:rFonts w:ascii="Arial" w:hAnsi="Arial" w:cs="Arial"/>
              </w:rPr>
            </w:pPr>
          </w:p>
        </w:tc>
      </w:tr>
      <w:tr w:rsidR="00635C1D" w:rsidRPr="000B05B1" w14:paraId="69BC787F" w14:textId="77777777" w:rsidTr="00975A3A">
        <w:tc>
          <w:tcPr>
            <w:tcW w:w="9356" w:type="dxa"/>
          </w:tcPr>
          <w:p w14:paraId="4C414513" w14:textId="19E20896" w:rsidR="00197C8D" w:rsidRPr="007042FE" w:rsidRDefault="00635C1D">
            <w:pPr>
              <w:rPr>
                <w:rFonts w:ascii="DINOT" w:hAnsi="DINOT" w:cs="DINOT"/>
                <w:noProof/>
                <w:color w:val="394A58"/>
                <w:sz w:val="24"/>
                <w:szCs w:val="24"/>
              </w:rPr>
            </w:pPr>
            <w:r w:rsidRPr="007042FE">
              <w:rPr>
                <w:rFonts w:ascii="DINOT" w:hAnsi="DINOT" w:cs="DINOT"/>
                <w:noProof/>
                <w:color w:val="394A58"/>
                <w:sz w:val="24"/>
                <w:szCs w:val="24"/>
              </w:rPr>
              <w:t>Timeframe for decision</w:t>
            </w:r>
          </w:p>
          <w:p w14:paraId="1259079D" w14:textId="6A61F038" w:rsidR="00ED78CC" w:rsidRPr="009142AF" w:rsidRDefault="009A6965">
            <w:pPr>
              <w:rPr>
                <w:rFonts w:ascii="DINOT" w:hAnsi="DINOT" w:cs="DINOT"/>
                <w:noProof/>
                <w:sz w:val="24"/>
                <w:szCs w:val="24"/>
              </w:rPr>
            </w:pPr>
            <w:r w:rsidRPr="009142AF">
              <w:rPr>
                <w:rFonts w:ascii="DINOT" w:hAnsi="DINOT" w:cs="DINOT"/>
                <w:noProof/>
                <w:sz w:val="24"/>
                <w:szCs w:val="24"/>
              </w:rPr>
              <w:t xml:space="preserve">Inform </w:t>
            </w:r>
            <w:r w:rsidR="00A41E8A" w:rsidRPr="009142AF">
              <w:rPr>
                <w:rFonts w:ascii="DINOT" w:hAnsi="DINOT" w:cs="DINOT"/>
                <w:noProof/>
                <w:sz w:val="24"/>
                <w:szCs w:val="24"/>
              </w:rPr>
              <w:t xml:space="preserve">staff that they will have </w:t>
            </w:r>
            <w:r w:rsidR="007042FE">
              <w:rPr>
                <w:rFonts w:ascii="DINOT" w:hAnsi="DINOT" w:cs="DINOT"/>
                <w:noProof/>
                <w:sz w:val="24"/>
                <w:szCs w:val="24"/>
              </w:rPr>
              <w:t>six</w:t>
            </w:r>
            <w:r w:rsidR="00A41E8A" w:rsidRPr="009142AF">
              <w:rPr>
                <w:rFonts w:ascii="DINOT" w:hAnsi="DINOT" w:cs="DINOT"/>
                <w:noProof/>
                <w:sz w:val="24"/>
                <w:szCs w:val="24"/>
              </w:rPr>
              <w:t xml:space="preserve"> months (</w:t>
            </w:r>
            <w:r w:rsidR="006C1058">
              <w:rPr>
                <w:rFonts w:ascii="DINOT" w:hAnsi="DINOT" w:cs="DINOT"/>
                <w:noProof/>
                <w:sz w:val="24"/>
                <w:szCs w:val="24"/>
              </w:rPr>
              <w:t xml:space="preserve">1 </w:t>
            </w:r>
            <w:r w:rsidR="00A41E8A" w:rsidRPr="009142AF">
              <w:rPr>
                <w:rFonts w:ascii="DINOT" w:hAnsi="DINOT" w:cs="DINOT"/>
                <w:noProof/>
                <w:sz w:val="24"/>
                <w:szCs w:val="24"/>
              </w:rPr>
              <w:t>Ap</w:t>
            </w:r>
            <w:r w:rsidR="007A4314" w:rsidRPr="009142AF">
              <w:rPr>
                <w:rFonts w:ascii="DINOT" w:hAnsi="DINOT" w:cs="DINOT"/>
                <w:noProof/>
                <w:sz w:val="24"/>
                <w:szCs w:val="24"/>
              </w:rPr>
              <w:t>ril 2021-</w:t>
            </w:r>
            <w:r w:rsidR="006C1058">
              <w:rPr>
                <w:rFonts w:ascii="DINOT" w:hAnsi="DINOT" w:cs="DINOT"/>
                <w:noProof/>
                <w:sz w:val="24"/>
                <w:szCs w:val="24"/>
              </w:rPr>
              <w:t xml:space="preserve"> 30 September </w:t>
            </w:r>
            <w:r w:rsidR="007A4314" w:rsidRPr="009142AF">
              <w:rPr>
                <w:rFonts w:ascii="DINOT" w:hAnsi="DINOT" w:cs="DINOT"/>
                <w:noProof/>
                <w:sz w:val="24"/>
                <w:szCs w:val="24"/>
              </w:rPr>
              <w:t xml:space="preserve"> 2021)</w:t>
            </w:r>
            <w:r w:rsidR="00166715" w:rsidRPr="009142AF">
              <w:rPr>
                <w:rFonts w:ascii="DINOT" w:hAnsi="DINOT" w:cs="DINOT"/>
                <w:noProof/>
                <w:sz w:val="24"/>
                <w:szCs w:val="24"/>
              </w:rPr>
              <w:t xml:space="preserve"> to decide whether </w:t>
            </w:r>
            <w:r w:rsidR="00C1711F" w:rsidRPr="009142AF">
              <w:rPr>
                <w:rFonts w:ascii="DINOT" w:hAnsi="DINOT" w:cs="DINOT"/>
                <w:noProof/>
                <w:sz w:val="24"/>
                <w:szCs w:val="24"/>
              </w:rPr>
              <w:t xml:space="preserve">to express an interest in moving </w:t>
            </w:r>
            <w:r w:rsidR="007E3E93" w:rsidRPr="009142AF">
              <w:rPr>
                <w:rFonts w:ascii="DINOT" w:hAnsi="DINOT" w:cs="DINOT"/>
                <w:noProof/>
                <w:sz w:val="24"/>
                <w:szCs w:val="24"/>
              </w:rPr>
              <w:t>to the new contract</w:t>
            </w:r>
            <w:r w:rsidR="001334EB" w:rsidRPr="009142AF">
              <w:rPr>
                <w:rFonts w:ascii="DINOT" w:hAnsi="DINOT" w:cs="DINOT"/>
                <w:noProof/>
                <w:sz w:val="24"/>
                <w:szCs w:val="24"/>
              </w:rPr>
              <w:t>.</w:t>
            </w:r>
            <w:r w:rsidR="004E1648" w:rsidRPr="009142AF">
              <w:rPr>
                <w:rFonts w:ascii="DINOT" w:hAnsi="DINOT" w:cs="DINOT"/>
                <w:noProof/>
                <w:sz w:val="24"/>
                <w:szCs w:val="24"/>
              </w:rPr>
              <w:t xml:space="preserve"> </w:t>
            </w:r>
            <w:r w:rsidR="006C1058">
              <w:rPr>
                <w:rFonts w:ascii="DINOT" w:hAnsi="DINOT" w:cs="DINOT"/>
                <w:noProof/>
                <w:sz w:val="24"/>
                <w:szCs w:val="24"/>
              </w:rPr>
              <w:t xml:space="preserve">After this date they loose </w:t>
            </w:r>
            <w:r w:rsidR="000B47AC">
              <w:rPr>
                <w:rFonts w:ascii="DINOT" w:hAnsi="DINOT" w:cs="DINOT"/>
                <w:noProof/>
                <w:sz w:val="24"/>
                <w:szCs w:val="24"/>
              </w:rPr>
              <w:t xml:space="preserve">their right to transfer. </w:t>
            </w:r>
          </w:p>
          <w:p w14:paraId="3427B68E" w14:textId="77777777" w:rsidR="00ED78CC" w:rsidRPr="009142AF" w:rsidRDefault="00ED78CC">
            <w:pPr>
              <w:rPr>
                <w:rFonts w:ascii="DINOT" w:hAnsi="DINOT" w:cs="DINOT"/>
                <w:noProof/>
                <w:sz w:val="24"/>
                <w:szCs w:val="24"/>
              </w:rPr>
            </w:pPr>
          </w:p>
          <w:p w14:paraId="3BBE94FC" w14:textId="58A0A846" w:rsidR="009A6965" w:rsidRPr="007042FE" w:rsidRDefault="009336BC">
            <w:pPr>
              <w:rPr>
                <w:rFonts w:ascii="DINOT" w:hAnsi="DINOT" w:cs="DINOT"/>
                <w:noProof/>
                <w:sz w:val="20"/>
                <w:szCs w:val="20"/>
              </w:rPr>
            </w:pPr>
            <w:r w:rsidRPr="007042FE">
              <w:rPr>
                <w:rFonts w:ascii="DINOT" w:hAnsi="DINOT" w:cs="DINOT"/>
                <w:noProof/>
                <w:sz w:val="20"/>
                <w:szCs w:val="20"/>
              </w:rPr>
              <w:t>Exceptional circumstances will be considered for those who are absent from work for a significant period of time during the choice window</w:t>
            </w:r>
            <w:r w:rsidR="00ED78CC" w:rsidRPr="007042FE">
              <w:rPr>
                <w:rFonts w:ascii="DINOT" w:hAnsi="DINOT" w:cs="DINOT"/>
                <w:noProof/>
                <w:sz w:val="20"/>
                <w:szCs w:val="20"/>
              </w:rPr>
              <w:t>.</w:t>
            </w:r>
            <w:r w:rsidR="00DD212F" w:rsidRPr="007042FE">
              <w:rPr>
                <w:rFonts w:ascii="DINOT" w:hAnsi="DINOT" w:cs="DINOT"/>
                <w:noProof/>
                <w:sz w:val="20"/>
                <w:szCs w:val="20"/>
              </w:rPr>
              <w:t xml:space="preserve"> Employers should ensure they </w:t>
            </w:r>
            <w:r w:rsidR="00124694" w:rsidRPr="007042FE">
              <w:rPr>
                <w:rFonts w:ascii="DINOT" w:hAnsi="DINOT" w:cs="DINOT"/>
                <w:noProof/>
                <w:sz w:val="20"/>
                <w:szCs w:val="20"/>
              </w:rPr>
              <w:t xml:space="preserve">have identified these doctors and make the necessary </w:t>
            </w:r>
            <w:r w:rsidR="008C1817" w:rsidRPr="007042FE">
              <w:rPr>
                <w:rFonts w:ascii="DINOT" w:hAnsi="DINOT" w:cs="DINOT"/>
                <w:noProof/>
                <w:sz w:val="20"/>
                <w:szCs w:val="20"/>
              </w:rPr>
              <w:t xml:space="preserve">arrangements to contact them. </w:t>
            </w:r>
            <w:r w:rsidR="00124694" w:rsidRPr="007042FE">
              <w:rPr>
                <w:rFonts w:ascii="DINOT" w:hAnsi="DINOT" w:cs="DINOT"/>
                <w:noProof/>
                <w:sz w:val="20"/>
                <w:szCs w:val="20"/>
              </w:rPr>
              <w:t xml:space="preserve"> </w:t>
            </w:r>
          </w:p>
          <w:p w14:paraId="2C4FAC5F" w14:textId="7D90EC1A" w:rsidR="00197C8D" w:rsidRPr="009142AF" w:rsidRDefault="00197C8D">
            <w:pPr>
              <w:rPr>
                <w:rFonts w:ascii="DINOT" w:hAnsi="DINOT" w:cs="DINOT"/>
                <w:noProof/>
                <w:sz w:val="24"/>
                <w:szCs w:val="24"/>
              </w:rPr>
            </w:pPr>
          </w:p>
        </w:tc>
        <w:tc>
          <w:tcPr>
            <w:tcW w:w="709" w:type="dxa"/>
          </w:tcPr>
          <w:p w14:paraId="07949248" w14:textId="77777777" w:rsidR="00635C1D" w:rsidRPr="000B05B1" w:rsidRDefault="00635C1D">
            <w:pPr>
              <w:rPr>
                <w:rFonts w:ascii="Arial" w:hAnsi="Arial" w:cs="Arial"/>
              </w:rPr>
            </w:pPr>
          </w:p>
        </w:tc>
      </w:tr>
    </w:tbl>
    <w:p w14:paraId="7FA0B87D" w14:textId="77777777" w:rsidR="007042FE" w:rsidRDefault="007042FE">
      <w:pPr>
        <w:rPr>
          <w:rFonts w:ascii="DINOT" w:hAnsi="DINOT" w:cs="DINOT"/>
          <w:noProof/>
          <w:sz w:val="24"/>
          <w:szCs w:val="24"/>
        </w:rPr>
      </w:pPr>
    </w:p>
    <w:p w14:paraId="2886A708" w14:textId="2E3E7DD5" w:rsidR="00B02477" w:rsidRDefault="007042FE">
      <w:pPr>
        <w:rPr>
          <w:rFonts w:ascii="DINOT" w:hAnsi="DINOT" w:cs="DINOT"/>
          <w:noProof/>
          <w:sz w:val="24"/>
          <w:szCs w:val="24"/>
        </w:rPr>
      </w:pPr>
      <w:r>
        <w:rPr>
          <w:rFonts w:ascii="DINOT" w:hAnsi="DINOT" w:cs="DINOT"/>
          <w:noProof/>
          <w:sz w:val="24"/>
          <w:szCs w:val="24"/>
        </w:rPr>
        <w:t>A</w:t>
      </w:r>
      <w:r w:rsidR="00B02477" w:rsidRPr="007042FE">
        <w:rPr>
          <w:rFonts w:ascii="DINOT" w:hAnsi="DINOT" w:cs="DINOT"/>
          <w:noProof/>
          <w:sz w:val="24"/>
          <w:szCs w:val="24"/>
        </w:rPr>
        <w:t xml:space="preserve"> model template letter </w:t>
      </w:r>
      <w:r w:rsidR="00B34D2C" w:rsidRPr="007042FE">
        <w:rPr>
          <w:rFonts w:ascii="DINOT" w:hAnsi="DINOT" w:cs="DINOT"/>
          <w:noProof/>
          <w:sz w:val="24"/>
          <w:szCs w:val="24"/>
        </w:rPr>
        <w:t>is available</w:t>
      </w:r>
      <w:r w:rsidR="00B02477" w:rsidRPr="007042FE">
        <w:rPr>
          <w:rFonts w:ascii="DINOT" w:hAnsi="DINOT" w:cs="DINOT"/>
          <w:noProof/>
          <w:sz w:val="24"/>
          <w:szCs w:val="24"/>
        </w:rPr>
        <w:t xml:space="preserve"> </w:t>
      </w:r>
      <w:r w:rsidR="004760FA" w:rsidRPr="007042FE">
        <w:rPr>
          <w:rFonts w:ascii="DINOT" w:hAnsi="DINOT" w:cs="DINOT"/>
          <w:noProof/>
          <w:sz w:val="24"/>
          <w:szCs w:val="24"/>
        </w:rPr>
        <w:t xml:space="preserve">below </w:t>
      </w:r>
      <w:r w:rsidR="00B02477" w:rsidRPr="007042FE">
        <w:rPr>
          <w:rFonts w:ascii="DINOT" w:hAnsi="DINOT" w:cs="DINOT"/>
          <w:noProof/>
          <w:sz w:val="24"/>
          <w:szCs w:val="24"/>
        </w:rPr>
        <w:t xml:space="preserve">for </w:t>
      </w:r>
      <w:r w:rsidR="002B0624" w:rsidRPr="007042FE">
        <w:rPr>
          <w:rFonts w:ascii="DINOT" w:hAnsi="DINOT" w:cs="DINOT"/>
          <w:noProof/>
          <w:sz w:val="24"/>
          <w:szCs w:val="24"/>
        </w:rPr>
        <w:t>employers</w:t>
      </w:r>
      <w:r w:rsidR="00B02477" w:rsidRPr="007042FE">
        <w:rPr>
          <w:rFonts w:ascii="DINOT" w:hAnsi="DINOT" w:cs="DINOT"/>
          <w:noProof/>
          <w:sz w:val="24"/>
          <w:szCs w:val="24"/>
        </w:rPr>
        <w:t xml:space="preserve"> to send to the</w:t>
      </w:r>
      <w:r w:rsidR="00C62A1C">
        <w:rPr>
          <w:rFonts w:ascii="DINOT" w:hAnsi="DINOT" w:cs="DINOT"/>
          <w:noProof/>
          <w:sz w:val="24"/>
          <w:szCs w:val="24"/>
        </w:rPr>
        <w:t xml:space="preserve">ir SAS </w:t>
      </w:r>
      <w:r w:rsidR="00B02477" w:rsidRPr="007042FE">
        <w:rPr>
          <w:rFonts w:ascii="DINOT" w:hAnsi="DINOT" w:cs="DINOT"/>
          <w:noProof/>
          <w:sz w:val="24"/>
          <w:szCs w:val="24"/>
        </w:rPr>
        <w:t>doctor</w:t>
      </w:r>
      <w:r w:rsidR="00C62A1C">
        <w:rPr>
          <w:rFonts w:ascii="DINOT" w:hAnsi="DINOT" w:cs="DINOT"/>
          <w:noProof/>
          <w:sz w:val="24"/>
          <w:szCs w:val="24"/>
        </w:rPr>
        <w:t>s</w:t>
      </w:r>
      <w:r w:rsidR="00B02477" w:rsidRPr="007042FE">
        <w:rPr>
          <w:rFonts w:ascii="DINOT" w:hAnsi="DINOT" w:cs="DINOT"/>
          <w:noProof/>
          <w:sz w:val="24"/>
          <w:szCs w:val="24"/>
        </w:rPr>
        <w:t>. It outline</w:t>
      </w:r>
      <w:r w:rsidR="002B0624" w:rsidRPr="007042FE">
        <w:rPr>
          <w:rFonts w:ascii="DINOT" w:hAnsi="DINOT" w:cs="DINOT"/>
          <w:noProof/>
          <w:sz w:val="24"/>
          <w:szCs w:val="24"/>
        </w:rPr>
        <w:t>s</w:t>
      </w:r>
      <w:r w:rsidR="00B02477" w:rsidRPr="007042FE">
        <w:rPr>
          <w:rFonts w:ascii="DINOT" w:hAnsi="DINOT" w:cs="DINOT"/>
          <w:noProof/>
          <w:sz w:val="24"/>
          <w:szCs w:val="24"/>
        </w:rPr>
        <w:t xml:space="preserve"> their eligibility to </w:t>
      </w:r>
      <w:r w:rsidR="002B0624" w:rsidRPr="007042FE">
        <w:rPr>
          <w:rFonts w:ascii="DINOT" w:hAnsi="DINOT" w:cs="DINOT"/>
          <w:noProof/>
          <w:sz w:val="24"/>
          <w:szCs w:val="24"/>
        </w:rPr>
        <w:t>transfer</w:t>
      </w:r>
      <w:r w:rsidR="00B02477" w:rsidRPr="007042FE">
        <w:rPr>
          <w:rFonts w:ascii="DINOT" w:hAnsi="DINOT" w:cs="DINOT"/>
          <w:noProof/>
          <w:sz w:val="24"/>
          <w:szCs w:val="24"/>
        </w:rPr>
        <w:t xml:space="preserve">, as well as </w:t>
      </w:r>
      <w:r w:rsidR="002B0624" w:rsidRPr="007042FE">
        <w:rPr>
          <w:rFonts w:ascii="DINOT" w:hAnsi="DINOT" w:cs="DINOT"/>
          <w:noProof/>
          <w:sz w:val="24"/>
          <w:szCs w:val="24"/>
        </w:rPr>
        <w:t>setting out</w:t>
      </w:r>
      <w:r w:rsidR="00B02477" w:rsidRPr="007042FE">
        <w:rPr>
          <w:rFonts w:ascii="DINOT" w:hAnsi="DINOT" w:cs="DINOT"/>
          <w:noProof/>
          <w:sz w:val="24"/>
          <w:szCs w:val="24"/>
        </w:rPr>
        <w:t xml:space="preserve"> the timeframe </w:t>
      </w:r>
      <w:r w:rsidR="002B0624" w:rsidRPr="007042FE">
        <w:rPr>
          <w:rFonts w:ascii="DINOT" w:hAnsi="DINOT" w:cs="DINOT"/>
          <w:noProof/>
          <w:sz w:val="24"/>
          <w:szCs w:val="24"/>
        </w:rPr>
        <w:t>to</w:t>
      </w:r>
      <w:r w:rsidR="00B02477" w:rsidRPr="007042FE">
        <w:rPr>
          <w:rFonts w:ascii="DINOT" w:hAnsi="DINOT" w:cs="DINOT"/>
          <w:noProof/>
          <w:sz w:val="24"/>
          <w:szCs w:val="24"/>
        </w:rPr>
        <w:t xml:space="preserve"> do so</w:t>
      </w:r>
      <w:r w:rsidR="002B0624" w:rsidRPr="007042FE">
        <w:rPr>
          <w:rFonts w:ascii="DINOT" w:hAnsi="DINOT" w:cs="DINOT"/>
          <w:noProof/>
          <w:sz w:val="24"/>
          <w:szCs w:val="24"/>
        </w:rPr>
        <w:t xml:space="preserve"> and</w:t>
      </w:r>
      <w:r w:rsidR="000F79A0" w:rsidRPr="007042FE">
        <w:rPr>
          <w:rFonts w:ascii="DINOT" w:hAnsi="DINOT" w:cs="DINOT"/>
          <w:noProof/>
          <w:sz w:val="24"/>
          <w:szCs w:val="24"/>
        </w:rPr>
        <w:t xml:space="preserve"> a point of contact</w:t>
      </w:r>
      <w:r w:rsidR="00B02477" w:rsidRPr="007042FE">
        <w:rPr>
          <w:rFonts w:ascii="DINOT" w:hAnsi="DINOT" w:cs="DINOT"/>
          <w:noProof/>
          <w:sz w:val="24"/>
          <w:szCs w:val="24"/>
        </w:rPr>
        <w:t xml:space="preserve">. </w:t>
      </w:r>
    </w:p>
    <w:p w14:paraId="2081D04D" w14:textId="77777777" w:rsidR="008B6DF4" w:rsidRPr="007042FE" w:rsidRDefault="008B6DF4">
      <w:pPr>
        <w:rPr>
          <w:rFonts w:ascii="DINOT" w:hAnsi="DINOT" w:cs="DINOT"/>
          <w:noProof/>
          <w:sz w:val="24"/>
          <w:szCs w:val="24"/>
        </w:rPr>
      </w:pPr>
    </w:p>
    <w:p w14:paraId="3E09038C" w14:textId="77777777" w:rsidR="00451CE5" w:rsidRPr="00DD2713" w:rsidRDefault="00451CE5" w:rsidP="00451CE5">
      <w:pPr>
        <w:rPr>
          <w:rFonts w:ascii="DINOT" w:hAnsi="DINOT" w:cs="DINOT"/>
          <w:noProof/>
          <w:sz w:val="24"/>
          <w:szCs w:val="24"/>
        </w:rPr>
      </w:pPr>
      <w:r w:rsidRPr="00DD2713">
        <w:rPr>
          <w:rFonts w:ascii="DINOT" w:hAnsi="DINOT" w:cs="DINOT"/>
          <w:noProof/>
          <w:sz w:val="24"/>
          <w:szCs w:val="24"/>
        </w:rPr>
        <w:t xml:space="preserve">Dear </w:t>
      </w:r>
      <w:r w:rsidRPr="003068D5">
        <w:rPr>
          <w:rFonts w:ascii="DINOT" w:hAnsi="DINOT" w:cs="DINOT"/>
          <w:noProof/>
          <w:color w:val="952D98"/>
          <w:sz w:val="24"/>
          <w:szCs w:val="24"/>
        </w:rPr>
        <w:t>[INSERT NAME]</w:t>
      </w:r>
      <w:r w:rsidRPr="00DD2713">
        <w:rPr>
          <w:rFonts w:ascii="DINOT" w:hAnsi="DINOT" w:cs="DINOT"/>
          <w:noProof/>
          <w:sz w:val="24"/>
          <w:szCs w:val="24"/>
        </w:rPr>
        <w:t xml:space="preserve">, </w:t>
      </w:r>
    </w:p>
    <w:p w14:paraId="7AD9F596" w14:textId="4FA8FA1E" w:rsidR="00451CE5" w:rsidRPr="003068D5" w:rsidRDefault="00451CE5" w:rsidP="00451CE5">
      <w:pPr>
        <w:rPr>
          <w:rFonts w:ascii="DINOT" w:hAnsi="DINOT" w:cs="DINOT"/>
          <w:noProof/>
          <w:sz w:val="24"/>
          <w:szCs w:val="24"/>
        </w:rPr>
      </w:pPr>
      <w:r w:rsidRPr="003068D5">
        <w:rPr>
          <w:rFonts w:ascii="DINOT" w:hAnsi="DINOT" w:cs="DINOT"/>
          <w:b/>
          <w:bCs/>
          <w:noProof/>
          <w:sz w:val="24"/>
          <w:szCs w:val="24"/>
        </w:rPr>
        <w:t>RE: Transferring to the 2021</w:t>
      </w:r>
      <w:r w:rsidRPr="003068D5">
        <w:rPr>
          <w:rFonts w:ascii="DINOT" w:hAnsi="DINOT" w:cs="DINOT"/>
          <w:noProof/>
          <w:sz w:val="24"/>
          <w:szCs w:val="24"/>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553D1"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Pr="003068D5">
        <w:rPr>
          <w:rFonts w:ascii="DINOT" w:hAnsi="DINOT" w:cs="DINOT"/>
          <w:noProof/>
          <w:color w:val="952D98"/>
          <w:sz w:val="24"/>
          <w:szCs w:val="24"/>
        </w:rPr>
        <w:t>pecialist</w:t>
      </w:r>
      <w:r w:rsidR="003553D1" w:rsidRPr="003068D5">
        <w:rPr>
          <w:rFonts w:ascii="DINOT" w:hAnsi="DINOT" w:cs="DINOT"/>
          <w:noProof/>
          <w:color w:val="952D98"/>
          <w:sz w:val="24"/>
          <w:szCs w:val="24"/>
        </w:rPr>
        <w:t xml:space="preserve"> [delete as appropriate]</w:t>
      </w:r>
      <w:r w:rsidR="00AA163E" w:rsidRPr="003068D5">
        <w:rPr>
          <w:rFonts w:ascii="DINOT" w:hAnsi="DINOT" w:cs="DINOT"/>
          <w:noProof/>
          <w:sz w:val="24"/>
          <w:szCs w:val="24"/>
        </w:rPr>
        <w:t xml:space="preserve"> </w:t>
      </w:r>
      <w:r w:rsidRPr="003068D5">
        <w:rPr>
          <w:rFonts w:ascii="DINOT" w:hAnsi="DINOT" w:cs="DINOT"/>
          <w:noProof/>
          <w:sz w:val="24"/>
          <w:szCs w:val="24"/>
        </w:rPr>
        <w:t xml:space="preserve"> contract</w:t>
      </w:r>
    </w:p>
    <w:p w14:paraId="16AF72A2" w14:textId="24872363" w:rsidR="00451CE5" w:rsidRPr="003068D5" w:rsidRDefault="00451CE5" w:rsidP="00451CE5">
      <w:pPr>
        <w:rPr>
          <w:rFonts w:ascii="DINOT" w:hAnsi="DINOT" w:cs="DINOT"/>
          <w:noProof/>
          <w:sz w:val="24"/>
          <w:szCs w:val="24"/>
        </w:rPr>
      </w:pPr>
      <w:r w:rsidRPr="003068D5">
        <w:rPr>
          <w:rFonts w:ascii="DINOT" w:hAnsi="DINOT" w:cs="DINOT"/>
          <w:noProof/>
          <w:sz w:val="24"/>
          <w:szCs w:val="24"/>
        </w:rPr>
        <w:t>Following the agreed introduction of the 2021</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553D1"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003553D1" w:rsidRPr="003068D5">
        <w:rPr>
          <w:rFonts w:ascii="DINOT" w:hAnsi="DINOT" w:cs="DINOT"/>
          <w:noProof/>
          <w:color w:val="952D98"/>
          <w:sz w:val="24"/>
          <w:szCs w:val="24"/>
        </w:rPr>
        <w:t>pecialist [delete as appropriate]</w:t>
      </w:r>
      <w:r w:rsidR="003553D1" w:rsidRPr="003553D1">
        <w:rPr>
          <w:rFonts w:ascii="Arial" w:hAnsi="Arial" w:cs="Arial"/>
          <w:b/>
          <w:bCs/>
          <w:color w:val="FF0000"/>
          <w:lang w:val="en-US"/>
        </w:rPr>
        <w:t xml:space="preserve"> </w:t>
      </w:r>
      <w:r w:rsidRPr="003068D5">
        <w:rPr>
          <w:rFonts w:ascii="DINOT" w:hAnsi="DINOT" w:cs="DINOT"/>
          <w:noProof/>
          <w:sz w:val="24"/>
          <w:szCs w:val="24"/>
        </w:rPr>
        <w:t>contract, current SAS doctors employed on National Terms and Conditions of Service will be given the option to transfer to the equivalent revised terms and conditions or remain on their current terms and conditions.</w:t>
      </w:r>
    </w:p>
    <w:p w14:paraId="63CD5D22" w14:textId="3E53483F" w:rsidR="00451CE5" w:rsidRDefault="00451CE5" w:rsidP="00451CE5">
      <w:pPr>
        <w:rPr>
          <w:rFonts w:ascii="Arial" w:hAnsi="Arial" w:cs="Arial"/>
        </w:rPr>
      </w:pPr>
      <w:r w:rsidRPr="003068D5">
        <w:rPr>
          <w:rFonts w:ascii="DINOT" w:hAnsi="DINOT" w:cs="DINOT"/>
          <w:noProof/>
          <w:sz w:val="24"/>
          <w:szCs w:val="24"/>
        </w:rPr>
        <w:t>We are therefore writing to you to inform you of your eligibility to transfer onto the 2021</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F20BBF"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00F20BBF" w:rsidRPr="003068D5">
        <w:rPr>
          <w:rFonts w:ascii="DINOT" w:hAnsi="DINOT" w:cs="DINOT"/>
          <w:noProof/>
          <w:color w:val="952D98"/>
          <w:sz w:val="24"/>
          <w:szCs w:val="24"/>
        </w:rPr>
        <w:t>pecialist [delete as appropriate]</w:t>
      </w:r>
      <w:r w:rsidR="00F20BBF" w:rsidRPr="003068D5">
        <w:rPr>
          <w:rFonts w:ascii="DINOT" w:hAnsi="DINOT" w:cs="DINOT"/>
          <w:noProof/>
          <w:sz w:val="24"/>
          <w:szCs w:val="24"/>
        </w:rPr>
        <w:t xml:space="preserve"> </w:t>
      </w:r>
      <w:r w:rsidRPr="003068D5">
        <w:rPr>
          <w:rFonts w:ascii="DINOT" w:hAnsi="DINOT" w:cs="DINOT"/>
          <w:noProof/>
          <w:sz w:val="24"/>
          <w:szCs w:val="24"/>
        </w:rPr>
        <w:t>contract.</w:t>
      </w:r>
    </w:p>
    <w:p w14:paraId="54EB1588" w14:textId="1C07737A" w:rsidR="0061738A" w:rsidRPr="001606DF" w:rsidRDefault="0061738A" w:rsidP="00451CE5">
      <w:pPr>
        <w:rPr>
          <w:rFonts w:ascii="DINOT" w:hAnsi="DINOT" w:cs="DINOT"/>
          <w:noProof/>
          <w:sz w:val="24"/>
          <w:szCs w:val="24"/>
        </w:rPr>
      </w:pPr>
      <w:r w:rsidRPr="003068D5">
        <w:rPr>
          <w:rFonts w:ascii="DINOT" w:hAnsi="DINOT" w:cs="DINOT"/>
          <w:noProof/>
          <w:sz w:val="24"/>
          <w:szCs w:val="24"/>
        </w:rPr>
        <w:t>Information on the</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17AFD" w:rsidRPr="003068D5">
        <w:rPr>
          <w:rFonts w:ascii="DINOT" w:hAnsi="DINOT" w:cs="DINOT"/>
          <w:noProof/>
          <w:color w:val="952D98"/>
          <w:sz w:val="24"/>
          <w:szCs w:val="24"/>
        </w:rPr>
        <w:t>S</w:t>
      </w:r>
      <w:r w:rsidRPr="003068D5">
        <w:rPr>
          <w:rFonts w:ascii="DINOT" w:hAnsi="DINOT" w:cs="DINOT"/>
          <w:noProof/>
          <w:color w:val="952D98"/>
          <w:sz w:val="24"/>
          <w:szCs w:val="24"/>
        </w:rPr>
        <w:t>pecialist [delete as appropriate]</w:t>
      </w:r>
      <w:r w:rsidR="00560156">
        <w:rPr>
          <w:rFonts w:ascii="Arial" w:hAnsi="Arial" w:cs="Arial"/>
          <w:color w:val="FF0000"/>
          <w:lang w:val="en-US"/>
        </w:rPr>
        <w:t xml:space="preserve"> </w:t>
      </w:r>
      <w:r w:rsidR="00560156" w:rsidRPr="003068D5">
        <w:rPr>
          <w:rFonts w:ascii="DINOT" w:hAnsi="DINOT" w:cs="DINOT"/>
          <w:noProof/>
          <w:sz w:val="24"/>
          <w:szCs w:val="24"/>
        </w:rPr>
        <w:t>contract</w:t>
      </w:r>
      <w:r w:rsidRPr="003068D5">
        <w:rPr>
          <w:rFonts w:ascii="DINOT" w:hAnsi="DINOT" w:cs="DINOT"/>
          <w:noProof/>
          <w:sz w:val="24"/>
          <w:szCs w:val="24"/>
        </w:rPr>
        <w:t xml:space="preserve"> is available on the </w:t>
      </w:r>
      <w:hyperlink r:id="rId11" w:history="1">
        <w:r w:rsidRPr="00F76DCC">
          <w:rPr>
            <w:rStyle w:val="Hyperlink"/>
            <w:rFonts w:ascii="DINOT" w:hAnsi="DINOT" w:cs="DINOT"/>
            <w:noProof/>
            <w:sz w:val="24"/>
            <w:szCs w:val="24"/>
          </w:rPr>
          <w:t>NHS Employers</w:t>
        </w:r>
      </w:hyperlink>
      <w:r w:rsidRPr="001606DF">
        <w:rPr>
          <w:rFonts w:ascii="DINOT" w:hAnsi="DINOT" w:cs="DINOT"/>
          <w:noProof/>
          <w:sz w:val="24"/>
          <w:szCs w:val="24"/>
        </w:rPr>
        <w:t xml:space="preserve"> </w:t>
      </w:r>
      <w:r w:rsidR="008C1817" w:rsidRPr="001606DF">
        <w:rPr>
          <w:rFonts w:ascii="DINOT" w:hAnsi="DINOT" w:cs="DINOT"/>
          <w:noProof/>
          <w:sz w:val="24"/>
          <w:szCs w:val="24"/>
        </w:rPr>
        <w:t xml:space="preserve">and </w:t>
      </w:r>
      <w:hyperlink r:id="rId12" w:history="1">
        <w:r w:rsidR="008C1817" w:rsidRPr="00E541B1">
          <w:rPr>
            <w:rStyle w:val="Hyperlink"/>
            <w:rFonts w:ascii="DINOT" w:hAnsi="DINOT" w:cs="DINOT"/>
            <w:noProof/>
            <w:sz w:val="24"/>
            <w:szCs w:val="24"/>
          </w:rPr>
          <w:t xml:space="preserve">BMA </w:t>
        </w:r>
        <w:r w:rsidRPr="00E541B1">
          <w:rPr>
            <w:rStyle w:val="Hyperlink"/>
            <w:rFonts w:ascii="DINOT" w:hAnsi="DINOT" w:cs="DINOT"/>
            <w:noProof/>
            <w:sz w:val="24"/>
            <w:szCs w:val="24"/>
          </w:rPr>
          <w:t>website</w:t>
        </w:r>
      </w:hyperlink>
      <w:r w:rsidRPr="001606DF">
        <w:rPr>
          <w:rFonts w:ascii="DINOT" w:hAnsi="DINOT" w:cs="DINOT"/>
          <w:noProof/>
          <w:sz w:val="24"/>
          <w:szCs w:val="24"/>
        </w:rPr>
        <w:t xml:space="preserve"> </w:t>
      </w:r>
      <w:r w:rsidR="00020F9E" w:rsidRPr="001606DF">
        <w:rPr>
          <w:rFonts w:ascii="DINOT" w:hAnsi="DINOT" w:cs="DINOT"/>
          <w:noProof/>
          <w:sz w:val="24"/>
          <w:szCs w:val="24"/>
        </w:rPr>
        <w:t xml:space="preserve">and we would encourage you to read the following documents: </w:t>
      </w:r>
    </w:p>
    <w:p w14:paraId="430899BB" w14:textId="729DD38B" w:rsidR="00020F9E" w:rsidRPr="001606DF" w:rsidRDefault="00020F9E" w:rsidP="00020F9E">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SAS contract reform framework agreement </w:t>
      </w:r>
    </w:p>
    <w:p w14:paraId="2BC96333" w14:textId="23346E4A" w:rsidR="00020F9E" w:rsidRPr="001606DF" w:rsidRDefault="00020F9E" w:rsidP="00020F9E">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Terms and conditions of </w:t>
      </w:r>
      <w:r w:rsidR="00AF2BDA">
        <w:rPr>
          <w:rFonts w:ascii="DINOT" w:hAnsi="DINOT" w:cs="DINOT"/>
          <w:noProof/>
          <w:sz w:val="24"/>
          <w:szCs w:val="24"/>
        </w:rPr>
        <w:t>s</w:t>
      </w:r>
      <w:r w:rsidRPr="001606DF">
        <w:rPr>
          <w:rFonts w:ascii="DINOT" w:hAnsi="DINOT" w:cs="DINOT"/>
          <w:noProof/>
          <w:sz w:val="24"/>
          <w:szCs w:val="24"/>
        </w:rPr>
        <w:t xml:space="preserve">ervice </w:t>
      </w:r>
    </w:p>
    <w:p w14:paraId="4E9CC4EA" w14:textId="2D77E3CD" w:rsidR="0061738A" w:rsidRPr="001606DF" w:rsidRDefault="009333F9" w:rsidP="00451CE5">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Pay and </w:t>
      </w:r>
      <w:r w:rsidR="00AF2BDA">
        <w:rPr>
          <w:rFonts w:ascii="DINOT" w:hAnsi="DINOT" w:cs="DINOT"/>
          <w:noProof/>
          <w:sz w:val="24"/>
          <w:szCs w:val="24"/>
        </w:rPr>
        <w:t>c</w:t>
      </w:r>
      <w:r w:rsidRPr="001606DF">
        <w:rPr>
          <w:rFonts w:ascii="DINOT" w:hAnsi="DINOT" w:cs="DINOT"/>
          <w:noProof/>
          <w:sz w:val="24"/>
          <w:szCs w:val="24"/>
        </w:rPr>
        <w:t xml:space="preserve">onditions circular </w:t>
      </w:r>
    </w:p>
    <w:p w14:paraId="1239A6FE" w14:textId="7190ACD5" w:rsidR="00995D68" w:rsidRPr="003068D5" w:rsidRDefault="00851145" w:rsidP="00995D68">
      <w:pPr>
        <w:rPr>
          <w:rFonts w:ascii="DINOT" w:hAnsi="DINOT" w:cs="DINOT"/>
          <w:noProof/>
          <w:color w:val="952D98"/>
          <w:sz w:val="24"/>
          <w:szCs w:val="24"/>
        </w:rPr>
      </w:pPr>
      <w:r w:rsidRPr="003068D5">
        <w:rPr>
          <w:rFonts w:ascii="DINOT" w:hAnsi="DINOT" w:cs="DINOT"/>
          <w:noProof/>
          <w:color w:val="952D98"/>
          <w:sz w:val="24"/>
          <w:szCs w:val="24"/>
        </w:rPr>
        <w:t>[</w:t>
      </w:r>
      <w:r w:rsidR="00995D68" w:rsidRPr="003068D5">
        <w:rPr>
          <w:rFonts w:ascii="DINOT" w:hAnsi="DINOT" w:cs="DINOT"/>
          <w:noProof/>
          <w:color w:val="952D98"/>
          <w:sz w:val="24"/>
          <w:szCs w:val="24"/>
        </w:rPr>
        <w:t>Specialist grade only</w:t>
      </w:r>
      <w:r w:rsidRPr="003068D5">
        <w:rPr>
          <w:rFonts w:ascii="DINOT" w:hAnsi="DINOT" w:cs="DINOT"/>
          <w:noProof/>
          <w:color w:val="952D98"/>
          <w:sz w:val="24"/>
          <w:szCs w:val="24"/>
        </w:rPr>
        <w:t>,</w:t>
      </w:r>
      <w:r w:rsidR="00995D68" w:rsidRPr="003068D5">
        <w:rPr>
          <w:rFonts w:ascii="DINOT" w:hAnsi="DINOT" w:cs="DINOT"/>
          <w:noProof/>
          <w:color w:val="952D98"/>
          <w:sz w:val="24"/>
          <w:szCs w:val="24"/>
        </w:rPr>
        <w:t xml:space="preserve"> delete as appropriate]</w:t>
      </w:r>
      <w:r w:rsidRPr="003068D5">
        <w:rPr>
          <w:rFonts w:ascii="DINOT" w:hAnsi="DINOT" w:cs="DINOT"/>
          <w:noProof/>
          <w:color w:val="952D98"/>
          <w:sz w:val="24"/>
          <w:szCs w:val="24"/>
        </w:rPr>
        <w:t xml:space="preserve"> In order to transfer to the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pecialist grade, you must evidence that you meet the entry criteria detailed in Schedule 1 of the Specialist grade terms and conditions of service. </w:t>
      </w:r>
    </w:p>
    <w:p w14:paraId="587AC89A" w14:textId="35B6DD85" w:rsidR="00451CE5" w:rsidRPr="001606DF" w:rsidRDefault="00451CE5" w:rsidP="00451CE5">
      <w:pPr>
        <w:rPr>
          <w:rFonts w:ascii="DINOT" w:hAnsi="DINOT" w:cs="DINOT"/>
          <w:noProof/>
          <w:sz w:val="24"/>
          <w:szCs w:val="24"/>
        </w:rPr>
      </w:pPr>
      <w:r w:rsidRPr="001606DF">
        <w:rPr>
          <w:rFonts w:ascii="DINOT" w:hAnsi="DINOT" w:cs="DINOT"/>
          <w:noProof/>
          <w:sz w:val="24"/>
          <w:szCs w:val="24"/>
        </w:rPr>
        <w:t xml:space="preserve">You will have a </w:t>
      </w:r>
      <w:r w:rsidR="00A25FD2" w:rsidRPr="001606DF">
        <w:rPr>
          <w:rFonts w:ascii="DINOT" w:hAnsi="DINOT" w:cs="DINOT"/>
          <w:noProof/>
          <w:sz w:val="24"/>
          <w:szCs w:val="24"/>
        </w:rPr>
        <w:t>six</w:t>
      </w:r>
      <w:r w:rsidRPr="001606DF">
        <w:rPr>
          <w:rFonts w:ascii="DINOT" w:hAnsi="DINOT" w:cs="DINOT"/>
          <w:noProof/>
          <w:sz w:val="24"/>
          <w:szCs w:val="24"/>
        </w:rPr>
        <w:t xml:space="preserve">-month window (1 April 2021-30 September 2021) to </w:t>
      </w:r>
      <w:r w:rsidR="000C0206" w:rsidRPr="001606DF">
        <w:rPr>
          <w:rFonts w:ascii="DINOT" w:hAnsi="DINOT" w:cs="DINOT"/>
          <w:noProof/>
          <w:sz w:val="24"/>
          <w:szCs w:val="24"/>
        </w:rPr>
        <w:t>confirm with us you</w:t>
      </w:r>
      <w:r w:rsidR="0061738A" w:rsidRPr="001606DF">
        <w:rPr>
          <w:rFonts w:ascii="DINOT" w:hAnsi="DINOT" w:cs="DINOT"/>
          <w:noProof/>
          <w:sz w:val="24"/>
          <w:szCs w:val="24"/>
        </w:rPr>
        <w:t>r</w:t>
      </w:r>
      <w:r w:rsidR="000C0206" w:rsidRPr="001606DF">
        <w:rPr>
          <w:rFonts w:ascii="DINOT" w:hAnsi="DINOT" w:cs="DINOT"/>
          <w:noProof/>
          <w:sz w:val="24"/>
          <w:szCs w:val="24"/>
        </w:rPr>
        <w:t xml:space="preserve"> </w:t>
      </w:r>
      <w:r w:rsidRPr="001606DF">
        <w:rPr>
          <w:rFonts w:ascii="DINOT" w:hAnsi="DINOT" w:cs="DINOT"/>
          <w:noProof/>
          <w:sz w:val="24"/>
          <w:szCs w:val="24"/>
        </w:rPr>
        <w:t>express</w:t>
      </w:r>
      <w:r w:rsidR="000C0206" w:rsidRPr="001606DF">
        <w:rPr>
          <w:rFonts w:ascii="DINOT" w:hAnsi="DINOT" w:cs="DINOT"/>
          <w:noProof/>
          <w:sz w:val="24"/>
          <w:szCs w:val="24"/>
        </w:rPr>
        <w:t>ion</w:t>
      </w:r>
      <w:r w:rsidRPr="001606DF">
        <w:rPr>
          <w:rFonts w:ascii="DINOT" w:hAnsi="DINOT" w:cs="DINOT"/>
          <w:noProof/>
          <w:sz w:val="24"/>
          <w:szCs w:val="24"/>
        </w:rPr>
        <w:t xml:space="preserve"> </w:t>
      </w:r>
      <w:r w:rsidR="000C0206" w:rsidRPr="001606DF">
        <w:rPr>
          <w:rFonts w:ascii="DINOT" w:hAnsi="DINOT" w:cs="DINOT"/>
          <w:noProof/>
          <w:sz w:val="24"/>
          <w:szCs w:val="24"/>
        </w:rPr>
        <w:t>of</w:t>
      </w:r>
      <w:r w:rsidRPr="001606DF">
        <w:rPr>
          <w:rFonts w:ascii="DINOT" w:hAnsi="DINOT" w:cs="DINOT"/>
          <w:noProof/>
          <w:sz w:val="24"/>
          <w:szCs w:val="24"/>
        </w:rPr>
        <w:t xml:space="preserve"> interest to move to the new contract. Alternatively, you can decide to remain on your current terms and conditions</w:t>
      </w:r>
      <w:r w:rsidR="00517B4A" w:rsidRPr="001606DF">
        <w:rPr>
          <w:rFonts w:ascii="DINOT" w:hAnsi="DINOT" w:cs="DINOT"/>
          <w:noProof/>
          <w:sz w:val="24"/>
          <w:szCs w:val="24"/>
        </w:rPr>
        <w:t xml:space="preserve"> with no detriment</w:t>
      </w:r>
      <w:r w:rsidRPr="001606DF">
        <w:rPr>
          <w:rFonts w:ascii="DINOT" w:hAnsi="DINOT" w:cs="DINOT"/>
          <w:noProof/>
          <w:sz w:val="24"/>
          <w:szCs w:val="24"/>
        </w:rPr>
        <w:t>.</w:t>
      </w:r>
    </w:p>
    <w:p w14:paraId="214C537B" w14:textId="5F9F9EAC" w:rsidR="00972F02" w:rsidRPr="001606DF" w:rsidRDefault="00972F02" w:rsidP="00702750">
      <w:pPr>
        <w:autoSpaceDE w:val="0"/>
        <w:autoSpaceDN w:val="0"/>
        <w:adjustRightInd w:val="0"/>
        <w:rPr>
          <w:rFonts w:ascii="DINOT" w:hAnsi="DINOT" w:cs="DINOT"/>
          <w:noProof/>
          <w:sz w:val="24"/>
          <w:szCs w:val="24"/>
        </w:rPr>
      </w:pPr>
      <w:r w:rsidRPr="001606DF">
        <w:rPr>
          <w:rFonts w:ascii="DINOT" w:hAnsi="DINOT" w:cs="DINOT"/>
          <w:noProof/>
          <w:sz w:val="24"/>
          <w:szCs w:val="24"/>
        </w:rPr>
        <w:t xml:space="preserve">Your expression of interest is not legally binding nor </w:t>
      </w:r>
      <w:r w:rsidR="00517B4A" w:rsidRPr="001606DF">
        <w:rPr>
          <w:rFonts w:ascii="DINOT" w:hAnsi="DINOT" w:cs="DINOT"/>
          <w:noProof/>
          <w:sz w:val="24"/>
          <w:szCs w:val="24"/>
        </w:rPr>
        <w:t>will i</w:t>
      </w:r>
      <w:r w:rsidRPr="001606DF">
        <w:rPr>
          <w:rFonts w:ascii="DINOT" w:hAnsi="DINOT" w:cs="DINOT"/>
          <w:noProof/>
          <w:sz w:val="24"/>
          <w:szCs w:val="24"/>
        </w:rPr>
        <w:t xml:space="preserve">t oblige </w:t>
      </w:r>
      <w:r w:rsidR="00702750" w:rsidRPr="001606DF">
        <w:rPr>
          <w:rFonts w:ascii="DINOT" w:hAnsi="DINOT" w:cs="DINOT"/>
          <w:noProof/>
          <w:sz w:val="24"/>
          <w:szCs w:val="24"/>
        </w:rPr>
        <w:t>you</w:t>
      </w:r>
      <w:r w:rsidRPr="001606DF">
        <w:rPr>
          <w:rFonts w:ascii="DINOT" w:hAnsi="DINOT" w:cs="DINOT"/>
          <w:noProof/>
          <w:sz w:val="24"/>
          <w:szCs w:val="24"/>
        </w:rPr>
        <w:t xml:space="preserve"> to transfer to these </w:t>
      </w:r>
      <w:r w:rsidR="00597B09" w:rsidRPr="001606DF">
        <w:rPr>
          <w:rFonts w:ascii="DINOT" w:hAnsi="DINOT" w:cs="DINOT"/>
          <w:noProof/>
          <w:sz w:val="24"/>
          <w:szCs w:val="24"/>
        </w:rPr>
        <w:t>t</w:t>
      </w:r>
      <w:r w:rsidRPr="001606DF">
        <w:rPr>
          <w:rFonts w:ascii="DINOT" w:hAnsi="DINOT" w:cs="DINOT"/>
          <w:noProof/>
          <w:sz w:val="24"/>
          <w:szCs w:val="24"/>
        </w:rPr>
        <w:t xml:space="preserve">erms and </w:t>
      </w:r>
      <w:r w:rsidR="00597B09" w:rsidRPr="001606DF">
        <w:rPr>
          <w:rFonts w:ascii="DINOT" w:hAnsi="DINOT" w:cs="DINOT"/>
          <w:noProof/>
          <w:sz w:val="24"/>
          <w:szCs w:val="24"/>
        </w:rPr>
        <w:t>c</w:t>
      </w:r>
      <w:r w:rsidRPr="001606DF">
        <w:rPr>
          <w:rFonts w:ascii="DINOT" w:hAnsi="DINOT" w:cs="DINOT"/>
          <w:noProof/>
          <w:sz w:val="24"/>
          <w:szCs w:val="24"/>
        </w:rPr>
        <w:t xml:space="preserve">onditions of </w:t>
      </w:r>
      <w:r w:rsidR="00597B09" w:rsidRPr="001606DF">
        <w:rPr>
          <w:rFonts w:ascii="DINOT" w:hAnsi="DINOT" w:cs="DINOT"/>
          <w:noProof/>
          <w:sz w:val="24"/>
          <w:szCs w:val="24"/>
        </w:rPr>
        <w:t>s</w:t>
      </w:r>
      <w:r w:rsidRPr="001606DF">
        <w:rPr>
          <w:rFonts w:ascii="DINOT" w:hAnsi="DINOT" w:cs="DINOT"/>
          <w:noProof/>
          <w:sz w:val="24"/>
          <w:szCs w:val="24"/>
        </w:rPr>
        <w:t>ervice</w:t>
      </w:r>
      <w:r w:rsidR="00702750" w:rsidRPr="001606DF">
        <w:rPr>
          <w:rFonts w:ascii="DINOT" w:hAnsi="DINOT" w:cs="DINOT"/>
          <w:noProof/>
          <w:sz w:val="24"/>
          <w:szCs w:val="24"/>
        </w:rPr>
        <w:t>,</w:t>
      </w:r>
      <w:r w:rsidRPr="001606DF">
        <w:rPr>
          <w:rFonts w:ascii="DINOT" w:hAnsi="DINOT" w:cs="DINOT"/>
          <w:noProof/>
          <w:sz w:val="24"/>
          <w:szCs w:val="24"/>
        </w:rPr>
        <w:t xml:space="preserve"> but it shall signify that </w:t>
      </w:r>
      <w:r w:rsidR="00702750" w:rsidRPr="001606DF">
        <w:rPr>
          <w:rFonts w:ascii="DINOT" w:hAnsi="DINOT" w:cs="DINOT"/>
          <w:noProof/>
          <w:sz w:val="24"/>
          <w:szCs w:val="24"/>
        </w:rPr>
        <w:t>you</w:t>
      </w:r>
      <w:r w:rsidRPr="001606DF">
        <w:rPr>
          <w:rFonts w:ascii="DINOT" w:hAnsi="DINOT" w:cs="DINOT"/>
          <w:noProof/>
          <w:sz w:val="24"/>
          <w:szCs w:val="24"/>
        </w:rPr>
        <w:t xml:space="preserve"> wish to commence the job planning process in good faith and in the expectation of </w:t>
      </w:r>
      <w:r w:rsidR="00702750" w:rsidRPr="001606DF">
        <w:rPr>
          <w:rFonts w:ascii="DINOT" w:hAnsi="DINOT" w:cs="DINOT"/>
          <w:noProof/>
          <w:sz w:val="24"/>
          <w:szCs w:val="24"/>
        </w:rPr>
        <w:t>transferring.</w:t>
      </w:r>
    </w:p>
    <w:p w14:paraId="793CD111" w14:textId="38BA6A4B" w:rsidR="00D71AF2" w:rsidRPr="001606DF" w:rsidRDefault="00D71AF2" w:rsidP="00702750">
      <w:pPr>
        <w:autoSpaceDE w:val="0"/>
        <w:autoSpaceDN w:val="0"/>
        <w:adjustRightInd w:val="0"/>
        <w:rPr>
          <w:rFonts w:ascii="DINOT" w:hAnsi="DINOT" w:cs="DINOT"/>
          <w:noProof/>
          <w:sz w:val="24"/>
          <w:szCs w:val="24"/>
        </w:rPr>
      </w:pPr>
      <w:r w:rsidRPr="001606DF">
        <w:rPr>
          <w:rFonts w:ascii="DINOT" w:hAnsi="DINOT" w:cs="DINOT"/>
          <w:noProof/>
          <w:sz w:val="24"/>
          <w:szCs w:val="24"/>
        </w:rPr>
        <w:t xml:space="preserve">If we do not receive your expression of interest before close of play </w:t>
      </w:r>
      <w:r w:rsidR="00581757" w:rsidRPr="001606DF">
        <w:rPr>
          <w:rFonts w:ascii="DINOT" w:hAnsi="DINOT" w:cs="DINOT"/>
          <w:noProof/>
          <w:sz w:val="24"/>
          <w:szCs w:val="24"/>
        </w:rPr>
        <w:t>30 September 2021,</w:t>
      </w:r>
      <w:r w:rsidRPr="001606DF">
        <w:rPr>
          <w:rFonts w:ascii="DINOT" w:hAnsi="DINOT" w:cs="DINOT"/>
          <w:noProof/>
          <w:sz w:val="24"/>
          <w:szCs w:val="24"/>
        </w:rPr>
        <w:t xml:space="preserve"> we will presume that you intend </w:t>
      </w:r>
      <w:r w:rsidR="00581757" w:rsidRPr="001606DF">
        <w:rPr>
          <w:rFonts w:ascii="DINOT" w:hAnsi="DINOT" w:cs="DINOT"/>
          <w:noProof/>
          <w:sz w:val="24"/>
          <w:szCs w:val="24"/>
        </w:rPr>
        <w:t xml:space="preserve">to remain on your current terms and conditions. Please note that if you miss the deadline of 30 September 2021, you will </w:t>
      </w:r>
      <w:r w:rsidR="00A561D1" w:rsidRPr="001606DF">
        <w:rPr>
          <w:rFonts w:ascii="DINOT" w:hAnsi="DINOT" w:cs="DINOT"/>
          <w:noProof/>
          <w:sz w:val="24"/>
          <w:szCs w:val="24"/>
        </w:rPr>
        <w:t xml:space="preserve">lose your eligibility to transfer </w:t>
      </w:r>
      <w:r w:rsidR="003B4E79" w:rsidRPr="001606DF">
        <w:rPr>
          <w:rFonts w:ascii="DINOT" w:hAnsi="DINOT" w:cs="DINOT"/>
          <w:noProof/>
          <w:sz w:val="24"/>
          <w:szCs w:val="24"/>
        </w:rPr>
        <w:t xml:space="preserve">to this contract as per </w:t>
      </w:r>
      <w:r w:rsidR="00430E2E" w:rsidRPr="001606DF">
        <w:rPr>
          <w:rFonts w:ascii="DINOT" w:hAnsi="DINOT" w:cs="DINOT"/>
          <w:noProof/>
          <w:sz w:val="24"/>
          <w:szCs w:val="24"/>
        </w:rPr>
        <w:t xml:space="preserve">the </w:t>
      </w:r>
      <w:r w:rsidR="003B4E79" w:rsidRPr="001606DF">
        <w:rPr>
          <w:rFonts w:ascii="DINOT" w:hAnsi="DINOT" w:cs="DINOT"/>
          <w:noProof/>
          <w:sz w:val="24"/>
          <w:szCs w:val="24"/>
        </w:rPr>
        <w:t xml:space="preserve">transitional </w:t>
      </w:r>
      <w:r w:rsidR="00430E2E" w:rsidRPr="001606DF">
        <w:rPr>
          <w:rFonts w:ascii="DINOT" w:hAnsi="DINOT" w:cs="DINOT"/>
          <w:noProof/>
          <w:sz w:val="24"/>
          <w:szCs w:val="24"/>
        </w:rPr>
        <w:t>arrangements that are set out in Schedule 20 of the terms and conditions of service</w:t>
      </w:r>
      <w:r w:rsidR="001606DF">
        <w:rPr>
          <w:rFonts w:ascii="DINOT" w:hAnsi="DINOT" w:cs="DINOT"/>
          <w:noProof/>
          <w:sz w:val="24"/>
          <w:szCs w:val="24"/>
        </w:rPr>
        <w:t>.</w:t>
      </w:r>
      <w:r w:rsidR="00430E2E" w:rsidRPr="001606DF">
        <w:rPr>
          <w:rFonts w:ascii="DINOT" w:hAnsi="DINOT" w:cs="DINOT"/>
          <w:noProof/>
          <w:sz w:val="24"/>
          <w:szCs w:val="24"/>
        </w:rPr>
        <w:t xml:space="preserve"> </w:t>
      </w:r>
    </w:p>
    <w:p w14:paraId="28ECD614" w14:textId="77777777" w:rsidR="002D215B" w:rsidRDefault="002D215B">
      <w:pPr>
        <w:rPr>
          <w:rFonts w:ascii="DINOT" w:hAnsi="DINOT" w:cs="DINOT"/>
          <w:noProof/>
          <w:sz w:val="24"/>
          <w:szCs w:val="24"/>
        </w:rPr>
      </w:pPr>
    </w:p>
    <w:p w14:paraId="63D91A44" w14:textId="5C5E4E40" w:rsidR="000B05B1" w:rsidRPr="001606DF" w:rsidRDefault="00951363">
      <w:pPr>
        <w:rPr>
          <w:rFonts w:ascii="DINOT" w:hAnsi="DINOT" w:cs="DINOT"/>
          <w:noProof/>
          <w:sz w:val="24"/>
          <w:szCs w:val="24"/>
        </w:rPr>
      </w:pPr>
      <w:r w:rsidRPr="001606DF">
        <w:rPr>
          <w:rFonts w:ascii="DINOT" w:hAnsi="DINOT" w:cs="DINOT"/>
          <w:noProof/>
          <w:sz w:val="24"/>
          <w:szCs w:val="24"/>
        </w:rPr>
        <w:t xml:space="preserve">Please send any expressions of interest or questions regarding transfer </w:t>
      </w:r>
      <w:r w:rsidR="005A3D57" w:rsidRPr="001606DF">
        <w:rPr>
          <w:rFonts w:ascii="DINOT" w:hAnsi="DINOT" w:cs="DINOT"/>
          <w:noProof/>
          <w:sz w:val="24"/>
          <w:szCs w:val="24"/>
        </w:rPr>
        <w:t>to the new contracts to our</w:t>
      </w:r>
      <w:r w:rsidR="00451CE5" w:rsidRPr="001606DF">
        <w:rPr>
          <w:rFonts w:ascii="DINOT" w:hAnsi="DINOT" w:cs="DINOT"/>
          <w:noProof/>
          <w:sz w:val="24"/>
          <w:szCs w:val="24"/>
        </w:rPr>
        <w:t xml:space="preserve"> medical staffing department </w:t>
      </w:r>
      <w:r w:rsidR="00451CE5" w:rsidRPr="001606DF">
        <w:rPr>
          <w:rFonts w:ascii="DINOT" w:hAnsi="DINOT" w:cs="DINOT"/>
          <w:noProof/>
          <w:color w:val="952D98"/>
          <w:sz w:val="24"/>
          <w:szCs w:val="24"/>
        </w:rPr>
        <w:t>[INSERT CONTACT DETAILS]</w:t>
      </w:r>
      <w:r w:rsidR="00451CE5" w:rsidRPr="001606DF">
        <w:rPr>
          <w:rFonts w:ascii="DINOT" w:hAnsi="DINOT" w:cs="DINOT"/>
          <w:noProof/>
          <w:sz w:val="24"/>
          <w:szCs w:val="24"/>
        </w:rPr>
        <w:t>.</w:t>
      </w:r>
    </w:p>
    <w:sectPr w:rsidR="000B05B1" w:rsidRPr="001606D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847E" w14:textId="77777777" w:rsidR="007A1BBE" w:rsidRDefault="007A1BBE" w:rsidP="00F52EDC">
      <w:pPr>
        <w:spacing w:after="0" w:line="240" w:lineRule="auto"/>
      </w:pPr>
      <w:r>
        <w:separator/>
      </w:r>
    </w:p>
  </w:endnote>
  <w:endnote w:type="continuationSeparator" w:id="0">
    <w:p w14:paraId="4073B7DD" w14:textId="77777777" w:rsidR="007A1BBE" w:rsidRDefault="007A1BBE" w:rsidP="00F52EDC">
      <w:pPr>
        <w:spacing w:after="0" w:line="240" w:lineRule="auto"/>
      </w:pPr>
      <w:r>
        <w:continuationSeparator/>
      </w:r>
    </w:p>
  </w:endnote>
  <w:endnote w:type="continuationNotice" w:id="1">
    <w:p w14:paraId="6008DE9B" w14:textId="77777777" w:rsidR="007A1BBE" w:rsidRDefault="007A1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527B" w14:textId="77777777" w:rsidR="007A1BBE" w:rsidRDefault="007A1BBE" w:rsidP="00F52EDC">
      <w:pPr>
        <w:spacing w:after="0" w:line="240" w:lineRule="auto"/>
      </w:pPr>
      <w:r>
        <w:separator/>
      </w:r>
    </w:p>
  </w:footnote>
  <w:footnote w:type="continuationSeparator" w:id="0">
    <w:p w14:paraId="476482DC" w14:textId="77777777" w:rsidR="007A1BBE" w:rsidRDefault="007A1BBE" w:rsidP="00F52EDC">
      <w:pPr>
        <w:spacing w:after="0" w:line="240" w:lineRule="auto"/>
      </w:pPr>
      <w:r>
        <w:continuationSeparator/>
      </w:r>
    </w:p>
  </w:footnote>
  <w:footnote w:type="continuationNotice" w:id="1">
    <w:p w14:paraId="0ABB66DB" w14:textId="77777777" w:rsidR="007A1BBE" w:rsidRDefault="007A1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5B6" w14:textId="54D502BC" w:rsidR="00F52EDC" w:rsidRDefault="00E96D9E">
    <w:pPr>
      <w:pStyle w:val="Header"/>
    </w:pPr>
    <w:r>
      <w:rPr>
        <w:noProof/>
      </w:rPr>
      <w:drawing>
        <wp:anchor distT="0" distB="0" distL="114300" distR="114300" simplePos="0" relativeHeight="251658241" behindDoc="0" locked="0" layoutInCell="1" allowOverlap="1" wp14:anchorId="15D994CB" wp14:editId="0A162AEA">
          <wp:simplePos x="0" y="0"/>
          <wp:positionH relativeFrom="column">
            <wp:posOffset>3003550</wp:posOffset>
          </wp:positionH>
          <wp:positionV relativeFrom="paragraph">
            <wp:posOffset>412115</wp:posOffset>
          </wp:positionV>
          <wp:extent cx="1284605" cy="374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50D">
      <w:rPr>
        <w:noProof/>
      </w:rPr>
      <w:drawing>
        <wp:anchor distT="0" distB="0" distL="114300" distR="114300" simplePos="0" relativeHeight="251658240" behindDoc="0" locked="0" layoutInCell="1" allowOverlap="1" wp14:anchorId="4C9E7CFD" wp14:editId="61EB1A81">
          <wp:simplePos x="0" y="0"/>
          <wp:positionH relativeFrom="column">
            <wp:posOffset>4527550</wp:posOffset>
          </wp:positionH>
          <wp:positionV relativeFrom="paragraph">
            <wp:posOffset>128270</wp:posOffset>
          </wp:positionV>
          <wp:extent cx="1765300" cy="7175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EDC" w:rsidRPr="00E21991">
      <w:rPr>
        <w:rFonts w:ascii="Arial" w:hAnsi="Arial" w:cs="Arial"/>
        <w:noProof/>
        <w:sz w:val="36"/>
        <w:szCs w:val="36"/>
      </w:rPr>
      <w:drawing>
        <wp:inline distT="0" distB="0" distL="0" distR="0" wp14:anchorId="5BC032F6" wp14:editId="302582D5">
          <wp:extent cx="1990725" cy="895350"/>
          <wp:effectExtent l="0" t="0" r="9525" b="0"/>
          <wp:docPr id="7" name="Picture 6">
            <a:extLst xmlns:a="http://schemas.openxmlformats.org/drawingml/2006/main">
              <a:ext uri="{FF2B5EF4-FFF2-40B4-BE49-F238E27FC236}">
                <a16:creationId xmlns:a16="http://schemas.microsoft.com/office/drawing/2014/main" id="{692EA638-6017-43C3-AB49-A75AF686A9E3}"/>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92EA638-6017-43C3-AB49-A75AF686A9E3}"/>
                      </a:ext>
                    </a:extLst>
                  </pic:cNvPr>
                  <pic:cNvPicPr/>
                </pic:nvPicPr>
                <pic:blipFill rotWithShape="1">
                  <a:blip r:embed="rId3" cstate="print">
                    <a:extLst>
                      <a:ext uri="{28A0092B-C50C-407E-A947-70E740481C1C}">
                        <a14:useLocalDpi xmlns:a14="http://schemas.microsoft.com/office/drawing/2010/main" val="0"/>
                      </a:ext>
                    </a:extLst>
                  </a:blip>
                  <a:srcRect l="6153" b="7895"/>
                  <a:stretch/>
                </pic:blipFill>
                <pic:spPr bwMode="auto">
                  <a:xfrm>
                    <a:off x="0" y="0"/>
                    <a:ext cx="1991039" cy="8954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082"/>
    <w:multiLevelType w:val="hybridMultilevel"/>
    <w:tmpl w:val="D44ACD82"/>
    <w:lvl w:ilvl="0" w:tplc="2EEA1D00">
      <w:start w:val="3"/>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2511DD"/>
    <w:multiLevelType w:val="hybridMultilevel"/>
    <w:tmpl w:val="F60CD4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F06EA"/>
    <w:multiLevelType w:val="hybridMultilevel"/>
    <w:tmpl w:val="DDB87A0C"/>
    <w:lvl w:ilvl="0" w:tplc="08090019">
      <w:start w:val="1"/>
      <w:numFmt w:val="lowerLetter"/>
      <w:lvlText w:val="%1."/>
      <w:lvlJc w:val="left"/>
      <w:pPr>
        <w:ind w:left="1580" w:hanging="360"/>
      </w:pPr>
    </w:lvl>
    <w:lvl w:ilvl="1" w:tplc="08090019">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1D"/>
    <w:rsid w:val="00020F9E"/>
    <w:rsid w:val="00022C76"/>
    <w:rsid w:val="00083C67"/>
    <w:rsid w:val="000B05B1"/>
    <w:rsid w:val="000B47AC"/>
    <w:rsid w:val="000C0206"/>
    <w:rsid w:val="000F79A0"/>
    <w:rsid w:val="001201A0"/>
    <w:rsid w:val="00124694"/>
    <w:rsid w:val="001334EB"/>
    <w:rsid w:val="00160392"/>
    <w:rsid w:val="001606DF"/>
    <w:rsid w:val="001635BD"/>
    <w:rsid w:val="00166715"/>
    <w:rsid w:val="00197C8D"/>
    <w:rsid w:val="00202B80"/>
    <w:rsid w:val="002140DD"/>
    <w:rsid w:val="00222FFB"/>
    <w:rsid w:val="00226916"/>
    <w:rsid w:val="002450A0"/>
    <w:rsid w:val="002B0624"/>
    <w:rsid w:val="002D215B"/>
    <w:rsid w:val="00303E99"/>
    <w:rsid w:val="003068D5"/>
    <w:rsid w:val="00310496"/>
    <w:rsid w:val="00317AFD"/>
    <w:rsid w:val="003553D1"/>
    <w:rsid w:val="00374178"/>
    <w:rsid w:val="003B4E79"/>
    <w:rsid w:val="003E4710"/>
    <w:rsid w:val="00430E2E"/>
    <w:rsid w:val="00451CE5"/>
    <w:rsid w:val="004760FA"/>
    <w:rsid w:val="004A77DD"/>
    <w:rsid w:val="004D4F93"/>
    <w:rsid w:val="004E1648"/>
    <w:rsid w:val="004F7727"/>
    <w:rsid w:val="00502A5C"/>
    <w:rsid w:val="00503418"/>
    <w:rsid w:val="00517B4A"/>
    <w:rsid w:val="0053605A"/>
    <w:rsid w:val="00560156"/>
    <w:rsid w:val="00581757"/>
    <w:rsid w:val="00597B09"/>
    <w:rsid w:val="005A3D57"/>
    <w:rsid w:val="0061738A"/>
    <w:rsid w:val="00635C1D"/>
    <w:rsid w:val="00647357"/>
    <w:rsid w:val="006537CC"/>
    <w:rsid w:val="006C1058"/>
    <w:rsid w:val="006C6D92"/>
    <w:rsid w:val="006E6D26"/>
    <w:rsid w:val="006F6311"/>
    <w:rsid w:val="00702750"/>
    <w:rsid w:val="007042FE"/>
    <w:rsid w:val="0073498C"/>
    <w:rsid w:val="007442CD"/>
    <w:rsid w:val="007A1BBE"/>
    <w:rsid w:val="007A4314"/>
    <w:rsid w:val="007C49BC"/>
    <w:rsid w:val="007E0EFE"/>
    <w:rsid w:val="007E3E93"/>
    <w:rsid w:val="008427C5"/>
    <w:rsid w:val="00851145"/>
    <w:rsid w:val="00852F00"/>
    <w:rsid w:val="008B4231"/>
    <w:rsid w:val="008B6DF4"/>
    <w:rsid w:val="008C1817"/>
    <w:rsid w:val="00910BFF"/>
    <w:rsid w:val="009142AF"/>
    <w:rsid w:val="009333F9"/>
    <w:rsid w:val="009336BC"/>
    <w:rsid w:val="00951363"/>
    <w:rsid w:val="00952217"/>
    <w:rsid w:val="00957096"/>
    <w:rsid w:val="00965B52"/>
    <w:rsid w:val="00972F02"/>
    <w:rsid w:val="00975A3A"/>
    <w:rsid w:val="00995D68"/>
    <w:rsid w:val="009A6965"/>
    <w:rsid w:val="009E750D"/>
    <w:rsid w:val="009F5ACC"/>
    <w:rsid w:val="00A22AA5"/>
    <w:rsid w:val="00A25FD2"/>
    <w:rsid w:val="00A41E8A"/>
    <w:rsid w:val="00A561D1"/>
    <w:rsid w:val="00A616D8"/>
    <w:rsid w:val="00AA163E"/>
    <w:rsid w:val="00AF2BDA"/>
    <w:rsid w:val="00B00BD8"/>
    <w:rsid w:val="00B02477"/>
    <w:rsid w:val="00B03145"/>
    <w:rsid w:val="00B34D2C"/>
    <w:rsid w:val="00BE36CC"/>
    <w:rsid w:val="00C1711F"/>
    <w:rsid w:val="00C4576F"/>
    <w:rsid w:val="00C62A1C"/>
    <w:rsid w:val="00CB4A63"/>
    <w:rsid w:val="00CF4783"/>
    <w:rsid w:val="00D2755A"/>
    <w:rsid w:val="00D71AF2"/>
    <w:rsid w:val="00DD212F"/>
    <w:rsid w:val="00DD2713"/>
    <w:rsid w:val="00E17D37"/>
    <w:rsid w:val="00E541B1"/>
    <w:rsid w:val="00E90E8C"/>
    <w:rsid w:val="00E96D9E"/>
    <w:rsid w:val="00EA754A"/>
    <w:rsid w:val="00ED78CC"/>
    <w:rsid w:val="00EE07EA"/>
    <w:rsid w:val="00F003E3"/>
    <w:rsid w:val="00F018BE"/>
    <w:rsid w:val="00F127C3"/>
    <w:rsid w:val="00F20BBF"/>
    <w:rsid w:val="00F34C04"/>
    <w:rsid w:val="00F52EDC"/>
    <w:rsid w:val="00F7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F2B"/>
  <w15:chartTrackingRefBased/>
  <w15:docId w15:val="{9E295DD9-91DA-4BD4-AB6D-54C38D67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5C1D"/>
    <w:pPr>
      <w:ind w:left="720"/>
      <w:contextualSpacing/>
    </w:pPr>
  </w:style>
  <w:style w:type="character" w:styleId="Hyperlink">
    <w:name w:val="Hyperlink"/>
    <w:basedOn w:val="DefaultParagraphFont"/>
    <w:uiPriority w:val="99"/>
    <w:unhideWhenUsed/>
    <w:rsid w:val="00635C1D"/>
    <w:rPr>
      <w:color w:val="0563C1" w:themeColor="hyperlink"/>
      <w:u w:val="single"/>
    </w:rPr>
  </w:style>
  <w:style w:type="character" w:styleId="UnresolvedMention">
    <w:name w:val="Unresolved Mention"/>
    <w:basedOn w:val="DefaultParagraphFont"/>
    <w:uiPriority w:val="99"/>
    <w:unhideWhenUsed/>
    <w:rsid w:val="00635C1D"/>
    <w:rPr>
      <w:color w:val="605E5C"/>
      <w:shd w:val="clear" w:color="auto" w:fill="E1DFDD"/>
    </w:rPr>
  </w:style>
  <w:style w:type="paragraph" w:customStyle="1" w:styleId="Default">
    <w:name w:val="Default"/>
    <w:rsid w:val="008427C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DC"/>
  </w:style>
  <w:style w:type="paragraph" w:styleId="Footer">
    <w:name w:val="footer"/>
    <w:basedOn w:val="Normal"/>
    <w:link w:val="FooterChar"/>
    <w:uiPriority w:val="99"/>
    <w:unhideWhenUsed/>
    <w:rsid w:val="00F5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EDC"/>
  </w:style>
  <w:style w:type="character" w:styleId="CommentReference">
    <w:name w:val="annotation reference"/>
    <w:basedOn w:val="DefaultParagraphFont"/>
    <w:uiPriority w:val="99"/>
    <w:semiHidden/>
    <w:unhideWhenUsed/>
    <w:rsid w:val="00503418"/>
    <w:rPr>
      <w:sz w:val="16"/>
      <w:szCs w:val="16"/>
    </w:rPr>
  </w:style>
  <w:style w:type="paragraph" w:styleId="CommentText">
    <w:name w:val="annotation text"/>
    <w:basedOn w:val="Normal"/>
    <w:link w:val="CommentTextChar"/>
    <w:uiPriority w:val="99"/>
    <w:semiHidden/>
    <w:unhideWhenUsed/>
    <w:rsid w:val="00503418"/>
    <w:pPr>
      <w:spacing w:line="240" w:lineRule="auto"/>
    </w:pPr>
    <w:rPr>
      <w:sz w:val="20"/>
      <w:szCs w:val="20"/>
    </w:rPr>
  </w:style>
  <w:style w:type="character" w:customStyle="1" w:styleId="CommentTextChar">
    <w:name w:val="Comment Text Char"/>
    <w:basedOn w:val="DefaultParagraphFont"/>
    <w:link w:val="CommentText"/>
    <w:uiPriority w:val="99"/>
    <w:semiHidden/>
    <w:rsid w:val="00503418"/>
    <w:rPr>
      <w:sz w:val="20"/>
      <w:szCs w:val="20"/>
    </w:rPr>
  </w:style>
  <w:style w:type="paragraph" w:styleId="CommentSubject">
    <w:name w:val="annotation subject"/>
    <w:basedOn w:val="CommentText"/>
    <w:next w:val="CommentText"/>
    <w:link w:val="CommentSubjectChar"/>
    <w:uiPriority w:val="99"/>
    <w:semiHidden/>
    <w:unhideWhenUsed/>
    <w:rsid w:val="00503418"/>
    <w:rPr>
      <w:b/>
      <w:bCs/>
    </w:rPr>
  </w:style>
  <w:style w:type="character" w:customStyle="1" w:styleId="CommentSubjectChar">
    <w:name w:val="Comment Subject Char"/>
    <w:basedOn w:val="CommentTextChar"/>
    <w:link w:val="CommentSubject"/>
    <w:uiPriority w:val="99"/>
    <w:semiHidden/>
    <w:rsid w:val="00503418"/>
    <w:rPr>
      <w:b/>
      <w:bCs/>
      <w:sz w:val="20"/>
      <w:szCs w:val="20"/>
    </w:rPr>
  </w:style>
  <w:style w:type="character" w:styleId="Mention">
    <w:name w:val="Mention"/>
    <w:basedOn w:val="DefaultParagraphFont"/>
    <w:uiPriority w:val="99"/>
    <w:unhideWhenUsed/>
    <w:rsid w:val="009F5ACC"/>
    <w:rPr>
      <w:color w:val="2B579A"/>
      <w:shd w:val="clear" w:color="auto" w:fill="E1DFDD"/>
    </w:rPr>
  </w:style>
  <w:style w:type="paragraph" w:styleId="BalloonText">
    <w:name w:val="Balloon Text"/>
    <w:basedOn w:val="Normal"/>
    <w:link w:val="BalloonTextChar"/>
    <w:uiPriority w:val="99"/>
    <w:semiHidden/>
    <w:unhideWhenUsed/>
    <w:rsid w:val="00C17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1F"/>
    <w:rPr>
      <w:rFonts w:ascii="Segoe UI" w:hAnsi="Segoe UI" w:cs="Segoe UI"/>
      <w:sz w:val="18"/>
      <w:szCs w:val="18"/>
    </w:rPr>
  </w:style>
  <w:style w:type="character" w:styleId="FollowedHyperlink">
    <w:name w:val="FollowedHyperlink"/>
    <w:basedOn w:val="DefaultParagraphFont"/>
    <w:uiPriority w:val="99"/>
    <w:semiHidden/>
    <w:unhideWhenUsed/>
    <w:rsid w:val="00914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ma.org.uk/pay-and-contracts/contracts/sas-doctor-contract/sas-contract-negoti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pay-pensions-and-reward/medical-staff/sas-doctors/sas-contract-re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employers.org/pay-pensions-and-reward/pensions/pension-contribution-tax-reli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CE67D-9F7F-4C96-A062-CF9BA922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B9721-AFB5-4356-B509-49C7983D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10D63-A883-46A9-A069-7690569B3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Verity</dc:creator>
  <cp:keywords/>
  <dc:description/>
  <cp:lastModifiedBy>Danielle Lindley</cp:lastModifiedBy>
  <cp:revision>2</cp:revision>
  <dcterms:created xsi:type="dcterms:W3CDTF">2021-05-05T12:38:00Z</dcterms:created>
  <dcterms:modified xsi:type="dcterms:W3CDTF">2021-05-05T12:38:00Z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