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C1402" w14:textId="7F10C5F3" w:rsidR="002B24FC" w:rsidRDefault="00D82D9A" w:rsidP="00762890">
      <w:pPr>
        <w:rPr>
          <w:rFonts w:ascii="DINOT" w:hAnsi="DINOT" w:cs="DINOT"/>
          <w:b/>
          <w:color w:val="FF9900"/>
          <w:sz w:val="44"/>
          <w:szCs w:val="44"/>
        </w:rPr>
      </w:pPr>
      <w:r>
        <w:rPr>
          <w:rFonts w:ascii="DINOT" w:hAnsi="DINOT" w:cs="DINOT"/>
          <w:b/>
          <w:noProof/>
          <w:color w:val="FF6600"/>
          <w:sz w:val="44"/>
          <w:szCs w:val="44"/>
        </w:rPr>
        <w:drawing>
          <wp:anchor distT="0" distB="0" distL="114300" distR="114300" simplePos="0" relativeHeight="251660288" behindDoc="0" locked="0" layoutInCell="1" allowOverlap="1" wp14:anchorId="36B71CBE" wp14:editId="75B37C76">
            <wp:simplePos x="0" y="0"/>
            <wp:positionH relativeFrom="page">
              <wp:posOffset>95250</wp:posOffset>
            </wp:positionH>
            <wp:positionV relativeFrom="paragraph">
              <wp:posOffset>-2676525</wp:posOffset>
            </wp:positionV>
            <wp:extent cx="3072765" cy="3066415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765" cy="306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F7D6A76" w14:textId="248FE90D" w:rsidR="004E3F3E" w:rsidRPr="00D82D9A" w:rsidRDefault="00762890" w:rsidP="00762890">
      <w:pPr>
        <w:rPr>
          <w:rFonts w:ascii="DINOT" w:hAnsi="DINOT" w:cs="DINOT"/>
          <w:b/>
          <w:color w:val="FF481D"/>
          <w:sz w:val="44"/>
          <w:szCs w:val="44"/>
        </w:rPr>
      </w:pPr>
      <w:r w:rsidRPr="00D82D9A">
        <w:rPr>
          <w:rFonts w:ascii="DINOT" w:hAnsi="DINOT" w:cs="DINOT"/>
          <w:b/>
          <w:color w:val="FF481D"/>
          <w:sz w:val="44"/>
          <w:szCs w:val="44"/>
        </w:rPr>
        <w:t>Checklist for guardians of safe working h</w:t>
      </w:r>
      <w:r w:rsidR="00A8599A" w:rsidRPr="00D82D9A">
        <w:rPr>
          <w:rFonts w:ascii="DINOT" w:hAnsi="DINOT" w:cs="DINOT"/>
          <w:b/>
          <w:color w:val="FF481D"/>
          <w:sz w:val="44"/>
          <w:szCs w:val="44"/>
        </w:rPr>
        <w:t>ours</w:t>
      </w:r>
    </w:p>
    <w:p w14:paraId="01A61EBC" w14:textId="15CCC2F3" w:rsidR="007434E1" w:rsidRPr="00961CC0" w:rsidRDefault="007434E1">
      <w:pPr>
        <w:rPr>
          <w:rFonts w:ascii="DINOT" w:hAnsi="DINOT" w:cs="DINOT"/>
          <w:b/>
          <w:color w:val="FF481D"/>
          <w:sz w:val="36"/>
          <w:szCs w:val="44"/>
        </w:rPr>
      </w:pPr>
      <w:r w:rsidRPr="00961CC0">
        <w:rPr>
          <w:rFonts w:ascii="DINOT" w:hAnsi="DINOT" w:cs="DINOT"/>
          <w:b/>
          <w:color w:val="FF481D"/>
          <w:sz w:val="36"/>
          <w:szCs w:val="44"/>
        </w:rPr>
        <w:t xml:space="preserve">On commencement </w:t>
      </w:r>
      <w:r w:rsidR="00831830" w:rsidRPr="00961CC0">
        <w:rPr>
          <w:rFonts w:ascii="DINOT" w:hAnsi="DINOT" w:cs="DINOT"/>
          <w:b/>
          <w:color w:val="FF481D"/>
          <w:sz w:val="36"/>
          <w:szCs w:val="44"/>
        </w:rPr>
        <w:t>in</w:t>
      </w:r>
      <w:r w:rsidRPr="00961CC0">
        <w:rPr>
          <w:rFonts w:ascii="DINOT" w:hAnsi="DINOT" w:cs="DINOT"/>
          <w:b/>
          <w:color w:val="FF481D"/>
          <w:sz w:val="36"/>
          <w:szCs w:val="44"/>
        </w:rPr>
        <w:t xml:space="preserve"> the role</w:t>
      </w:r>
    </w:p>
    <w:tbl>
      <w:tblPr>
        <w:tblStyle w:val="TableGrid"/>
        <w:tblW w:w="9792" w:type="dxa"/>
        <w:tblLook w:val="04A0" w:firstRow="1" w:lastRow="0" w:firstColumn="1" w:lastColumn="0" w:noHBand="0" w:noVBand="1"/>
      </w:tblPr>
      <w:tblGrid>
        <w:gridCol w:w="9029"/>
        <w:gridCol w:w="763"/>
      </w:tblGrid>
      <w:tr w:rsidR="007434E1" w:rsidRPr="00762890" w14:paraId="09E1C259" w14:textId="77777777" w:rsidTr="00D82D9A">
        <w:trPr>
          <w:trHeight w:val="278"/>
        </w:trPr>
        <w:tc>
          <w:tcPr>
            <w:tcW w:w="9067" w:type="dxa"/>
            <w:shd w:val="clear" w:color="auto" w:fill="FF481D"/>
          </w:tcPr>
          <w:p w14:paraId="2B1B6F23" w14:textId="77777777" w:rsidR="007434E1" w:rsidRPr="00762890" w:rsidRDefault="007434E1" w:rsidP="001F6BC3">
            <w:pPr>
              <w:rPr>
                <w:rFonts w:ascii="DINOT" w:hAnsi="DINOT" w:cs="DINOT"/>
                <w:b/>
                <w:color w:val="FFFFFF" w:themeColor="background1"/>
                <w:sz w:val="23"/>
                <w:szCs w:val="23"/>
              </w:rPr>
            </w:pPr>
            <w:r w:rsidRPr="00762890">
              <w:rPr>
                <w:rFonts w:ascii="DINOT" w:hAnsi="DINOT" w:cs="DINOT"/>
                <w:b/>
                <w:color w:val="FFFFFF" w:themeColor="background1"/>
                <w:sz w:val="23"/>
                <w:szCs w:val="23"/>
              </w:rPr>
              <w:t>Task</w:t>
            </w:r>
          </w:p>
        </w:tc>
        <w:tc>
          <w:tcPr>
            <w:tcW w:w="725" w:type="dxa"/>
            <w:shd w:val="clear" w:color="auto" w:fill="FF481D"/>
          </w:tcPr>
          <w:p w14:paraId="568365B5" w14:textId="77777777" w:rsidR="007434E1" w:rsidRPr="00762890" w:rsidRDefault="007434E1" w:rsidP="001F6BC3">
            <w:pPr>
              <w:rPr>
                <w:rFonts w:ascii="DINOT" w:hAnsi="DINOT" w:cs="DINOT"/>
                <w:b/>
                <w:color w:val="FFFFFF" w:themeColor="background1"/>
                <w:sz w:val="23"/>
                <w:szCs w:val="23"/>
              </w:rPr>
            </w:pPr>
            <w:r w:rsidRPr="00762890">
              <w:rPr>
                <w:rFonts w:ascii="DINOT" w:hAnsi="DINOT" w:cs="DINOT"/>
                <w:b/>
                <w:color w:val="FFFFFF" w:themeColor="background1"/>
                <w:sz w:val="23"/>
                <w:szCs w:val="23"/>
              </w:rPr>
              <w:t>Done</w:t>
            </w:r>
          </w:p>
        </w:tc>
      </w:tr>
      <w:tr w:rsidR="007434E1" w:rsidRPr="00762890" w14:paraId="115E6CD7" w14:textId="77777777" w:rsidTr="007434E1">
        <w:trPr>
          <w:trHeight w:val="604"/>
        </w:trPr>
        <w:tc>
          <w:tcPr>
            <w:tcW w:w="9067" w:type="dxa"/>
          </w:tcPr>
          <w:p w14:paraId="7F8ED58E" w14:textId="3FFDF4BC" w:rsidR="007434E1" w:rsidRPr="00D82D9A" w:rsidRDefault="007434E1" w:rsidP="001F6BC3">
            <w:pPr>
              <w:rPr>
                <w:rFonts w:ascii="DINOT" w:hAnsi="DINOT" w:cs="DINOT"/>
                <w:sz w:val="22"/>
              </w:rPr>
            </w:pPr>
            <w:r w:rsidRPr="00D82D9A">
              <w:rPr>
                <w:rFonts w:ascii="DINOT" w:hAnsi="DINOT" w:cs="DINOT"/>
                <w:sz w:val="22"/>
              </w:rPr>
              <w:t>Ensure you can log in and use the electronic exception reporting systems available from Allocate and Skills for Health</w:t>
            </w:r>
            <w:r w:rsidR="00D82D9A">
              <w:rPr>
                <w:rFonts w:ascii="DINOT" w:hAnsi="DINOT" w:cs="DINOT"/>
                <w:sz w:val="22"/>
              </w:rPr>
              <w:t xml:space="preserve"> </w:t>
            </w:r>
            <w:r w:rsidRPr="00D82D9A">
              <w:rPr>
                <w:rFonts w:ascii="DINOT" w:hAnsi="DINOT" w:cs="DINOT"/>
                <w:sz w:val="22"/>
              </w:rPr>
              <w:t>(or other electronic systems that may be in used in your trust)</w:t>
            </w:r>
            <w:r w:rsidR="00D82D9A">
              <w:rPr>
                <w:rFonts w:ascii="DINOT" w:hAnsi="DINOT" w:cs="DINOT"/>
                <w:sz w:val="22"/>
              </w:rPr>
              <w:t>.</w:t>
            </w:r>
          </w:p>
        </w:tc>
        <w:tc>
          <w:tcPr>
            <w:tcW w:w="725" w:type="dxa"/>
          </w:tcPr>
          <w:p w14:paraId="25A3A0D9" w14:textId="77777777" w:rsidR="007434E1" w:rsidRPr="00762890" w:rsidRDefault="007434E1" w:rsidP="001F6BC3">
            <w:pPr>
              <w:rPr>
                <w:rFonts w:ascii="DINOT" w:hAnsi="DINOT" w:cs="DINOT"/>
                <w:sz w:val="21"/>
                <w:szCs w:val="21"/>
              </w:rPr>
            </w:pPr>
          </w:p>
        </w:tc>
      </w:tr>
      <w:tr w:rsidR="007434E1" w:rsidRPr="00762890" w14:paraId="756B932B" w14:textId="77777777" w:rsidTr="007434E1">
        <w:trPr>
          <w:trHeight w:val="263"/>
        </w:trPr>
        <w:tc>
          <w:tcPr>
            <w:tcW w:w="9067" w:type="dxa"/>
            <w:shd w:val="clear" w:color="auto" w:fill="FFFFFF" w:themeFill="background1"/>
          </w:tcPr>
          <w:p w14:paraId="15688BF2" w14:textId="26CC5E51" w:rsidR="007434E1" w:rsidRPr="00D82D9A" w:rsidDel="00D16201" w:rsidRDefault="00974AA1" w:rsidP="001F6BC3">
            <w:pPr>
              <w:rPr>
                <w:rFonts w:ascii="DINOT" w:hAnsi="DINOT" w:cs="DINOT"/>
                <w:sz w:val="22"/>
              </w:rPr>
            </w:pPr>
            <w:r w:rsidRPr="00D82D9A">
              <w:rPr>
                <w:rFonts w:ascii="DINOT" w:hAnsi="DINOT" w:cs="DINOT"/>
                <w:sz w:val="22"/>
              </w:rPr>
              <w:t>Contact regional guardian representative and join the local network</w:t>
            </w:r>
            <w:r w:rsidR="008D4F4C" w:rsidRPr="00D82D9A">
              <w:rPr>
                <w:rFonts w:ascii="DINOT" w:hAnsi="DINOT" w:cs="DINOT"/>
                <w:sz w:val="22"/>
              </w:rPr>
              <w:t>.</w:t>
            </w:r>
          </w:p>
        </w:tc>
        <w:tc>
          <w:tcPr>
            <w:tcW w:w="725" w:type="dxa"/>
            <w:shd w:val="clear" w:color="auto" w:fill="FFFFFF" w:themeFill="background1"/>
          </w:tcPr>
          <w:p w14:paraId="66CD84C6" w14:textId="77777777" w:rsidR="007434E1" w:rsidRPr="00762890" w:rsidRDefault="007434E1" w:rsidP="001F6BC3">
            <w:pPr>
              <w:rPr>
                <w:rFonts w:ascii="DINOT" w:hAnsi="DINOT" w:cs="DINOT"/>
                <w:sz w:val="21"/>
                <w:szCs w:val="21"/>
              </w:rPr>
            </w:pPr>
          </w:p>
        </w:tc>
      </w:tr>
      <w:tr w:rsidR="007434E1" w:rsidRPr="00762890" w14:paraId="03749784" w14:textId="77777777" w:rsidTr="007434E1">
        <w:trPr>
          <w:trHeight w:val="263"/>
        </w:trPr>
        <w:tc>
          <w:tcPr>
            <w:tcW w:w="9067" w:type="dxa"/>
            <w:shd w:val="clear" w:color="auto" w:fill="FFFFFF" w:themeFill="background1"/>
          </w:tcPr>
          <w:p w14:paraId="1A56D290" w14:textId="5BA367A7" w:rsidR="00974AA1" w:rsidRPr="00D82D9A" w:rsidRDefault="00974AA1" w:rsidP="001F6BC3">
            <w:pPr>
              <w:rPr>
                <w:rFonts w:ascii="DINOT" w:hAnsi="DINOT" w:cs="DINOT"/>
                <w:sz w:val="22"/>
              </w:rPr>
            </w:pPr>
            <w:r w:rsidRPr="00D82D9A">
              <w:rPr>
                <w:rFonts w:ascii="DINOT" w:hAnsi="DINOT" w:cs="DINOT"/>
                <w:sz w:val="22"/>
              </w:rPr>
              <w:t>Contact the local negotiating committee (L</w:t>
            </w:r>
            <w:r w:rsidR="00CC6ECC" w:rsidRPr="00D82D9A">
              <w:rPr>
                <w:rFonts w:ascii="DINOT" w:hAnsi="DINOT" w:cs="DINOT"/>
                <w:sz w:val="22"/>
              </w:rPr>
              <w:t>NC) chair to introduce yourself</w:t>
            </w:r>
            <w:r w:rsidR="008D4F4C" w:rsidRPr="00D82D9A">
              <w:rPr>
                <w:rFonts w:ascii="DINOT" w:hAnsi="DINOT" w:cs="DINOT"/>
                <w:sz w:val="22"/>
              </w:rPr>
              <w:t>.</w:t>
            </w:r>
          </w:p>
        </w:tc>
        <w:tc>
          <w:tcPr>
            <w:tcW w:w="725" w:type="dxa"/>
            <w:shd w:val="clear" w:color="auto" w:fill="FFFFFF" w:themeFill="background1"/>
          </w:tcPr>
          <w:p w14:paraId="0FD8990F" w14:textId="77777777" w:rsidR="007434E1" w:rsidRPr="00762890" w:rsidRDefault="007434E1" w:rsidP="001F6BC3">
            <w:pPr>
              <w:rPr>
                <w:rFonts w:ascii="DINOT" w:hAnsi="DINOT" w:cs="DINOT"/>
                <w:sz w:val="21"/>
                <w:szCs w:val="21"/>
              </w:rPr>
            </w:pPr>
          </w:p>
        </w:tc>
      </w:tr>
      <w:tr w:rsidR="007434E1" w:rsidRPr="00762890" w14:paraId="63F69EEF" w14:textId="77777777" w:rsidTr="00532B4C">
        <w:trPr>
          <w:trHeight w:val="568"/>
        </w:trPr>
        <w:tc>
          <w:tcPr>
            <w:tcW w:w="9067" w:type="dxa"/>
            <w:shd w:val="clear" w:color="auto" w:fill="FFFFFF" w:themeFill="background1"/>
          </w:tcPr>
          <w:p w14:paraId="38B64837" w14:textId="7C14DAFB" w:rsidR="007434E1" w:rsidRPr="00D82D9A" w:rsidRDefault="00D82D9A" w:rsidP="001F6BC3">
            <w:pPr>
              <w:rPr>
                <w:rFonts w:ascii="DINOT" w:hAnsi="DINOT" w:cs="DINOT"/>
                <w:sz w:val="22"/>
              </w:rPr>
            </w:pPr>
            <w:r>
              <w:rPr>
                <w:rFonts w:ascii="DINOT" w:hAnsi="DINOT" w:cs="DINOT"/>
                <w:sz w:val="22"/>
              </w:rPr>
              <w:t>Contact o</w:t>
            </w:r>
            <w:r w:rsidR="00B12C3B" w:rsidRPr="00D82D9A">
              <w:rPr>
                <w:rFonts w:ascii="DINOT" w:hAnsi="DINOT" w:cs="DINOT"/>
                <w:sz w:val="22"/>
              </w:rPr>
              <w:t>ther colleagues in the organisation includ</w:t>
            </w:r>
            <w:r>
              <w:rPr>
                <w:rFonts w:ascii="DINOT" w:hAnsi="DINOT" w:cs="DINOT"/>
                <w:sz w:val="22"/>
              </w:rPr>
              <w:t>ing</w:t>
            </w:r>
            <w:r w:rsidR="00B12C3B" w:rsidRPr="00D82D9A">
              <w:rPr>
                <w:rFonts w:ascii="DINOT" w:hAnsi="DINOT" w:cs="DINOT"/>
                <w:sz w:val="22"/>
              </w:rPr>
              <w:t xml:space="preserve"> the </w:t>
            </w:r>
            <w:r>
              <w:rPr>
                <w:rFonts w:ascii="DINOT" w:hAnsi="DINOT" w:cs="DINOT"/>
                <w:sz w:val="22"/>
              </w:rPr>
              <w:t>d</w:t>
            </w:r>
            <w:r w:rsidR="00B12C3B" w:rsidRPr="00D82D9A">
              <w:rPr>
                <w:rFonts w:ascii="DINOT" w:hAnsi="DINOT" w:cs="DINOT"/>
                <w:sz w:val="22"/>
              </w:rPr>
              <w:t xml:space="preserve">irector of </w:t>
            </w:r>
            <w:r>
              <w:rPr>
                <w:rFonts w:ascii="DINOT" w:hAnsi="DINOT" w:cs="DINOT"/>
                <w:sz w:val="22"/>
              </w:rPr>
              <w:t>m</w:t>
            </w:r>
            <w:r w:rsidR="00B12C3B" w:rsidRPr="00D82D9A">
              <w:rPr>
                <w:rFonts w:ascii="DINOT" w:hAnsi="DINOT" w:cs="DINOT"/>
                <w:sz w:val="22"/>
              </w:rPr>
              <w:t xml:space="preserve">edical </w:t>
            </w:r>
            <w:r>
              <w:rPr>
                <w:rFonts w:ascii="DINOT" w:hAnsi="DINOT" w:cs="DINOT"/>
                <w:sz w:val="22"/>
              </w:rPr>
              <w:t>e</w:t>
            </w:r>
            <w:r w:rsidR="00B12C3B" w:rsidRPr="00D82D9A">
              <w:rPr>
                <w:rFonts w:ascii="DINOT" w:hAnsi="DINOT" w:cs="DINOT"/>
                <w:sz w:val="22"/>
              </w:rPr>
              <w:t xml:space="preserve">ducation (DME) and </w:t>
            </w:r>
            <w:r>
              <w:rPr>
                <w:rFonts w:ascii="DINOT" w:hAnsi="DINOT" w:cs="DINOT"/>
                <w:sz w:val="22"/>
              </w:rPr>
              <w:t>m</w:t>
            </w:r>
            <w:r w:rsidR="00B12C3B" w:rsidRPr="00D82D9A">
              <w:rPr>
                <w:rFonts w:ascii="DINOT" w:hAnsi="DINOT" w:cs="DINOT"/>
                <w:sz w:val="22"/>
              </w:rPr>
              <w:t xml:space="preserve">edical </w:t>
            </w:r>
            <w:r>
              <w:rPr>
                <w:rFonts w:ascii="DINOT" w:hAnsi="DINOT" w:cs="DINOT"/>
                <w:sz w:val="22"/>
              </w:rPr>
              <w:t>s</w:t>
            </w:r>
            <w:r w:rsidR="00B12C3B" w:rsidRPr="00D82D9A">
              <w:rPr>
                <w:rFonts w:ascii="DINOT" w:hAnsi="DINOT" w:cs="DINOT"/>
                <w:sz w:val="22"/>
              </w:rPr>
              <w:t>taffing.</w:t>
            </w:r>
          </w:p>
        </w:tc>
        <w:tc>
          <w:tcPr>
            <w:tcW w:w="725" w:type="dxa"/>
            <w:shd w:val="clear" w:color="auto" w:fill="FFFFFF" w:themeFill="background1"/>
          </w:tcPr>
          <w:p w14:paraId="43FD3568" w14:textId="77777777" w:rsidR="007434E1" w:rsidRPr="00762890" w:rsidRDefault="007434E1" w:rsidP="001F6BC3">
            <w:pPr>
              <w:rPr>
                <w:rFonts w:ascii="DINOT" w:hAnsi="DINOT" w:cs="DINOT"/>
                <w:sz w:val="21"/>
                <w:szCs w:val="21"/>
              </w:rPr>
            </w:pPr>
          </w:p>
        </w:tc>
      </w:tr>
      <w:tr w:rsidR="007434E1" w:rsidRPr="00762890" w14:paraId="43131649" w14:textId="77777777" w:rsidTr="007434E1">
        <w:trPr>
          <w:trHeight w:val="263"/>
        </w:trPr>
        <w:tc>
          <w:tcPr>
            <w:tcW w:w="9067" w:type="dxa"/>
            <w:shd w:val="clear" w:color="auto" w:fill="FFFFFF" w:themeFill="background1"/>
          </w:tcPr>
          <w:p w14:paraId="5DE55ED2" w14:textId="1D5AC875" w:rsidR="007434E1" w:rsidRPr="00D82D9A" w:rsidRDefault="00D82D9A" w:rsidP="001F6BC3">
            <w:pPr>
              <w:rPr>
                <w:rFonts w:ascii="DINOT" w:hAnsi="DINOT" w:cs="DINOT"/>
                <w:sz w:val="22"/>
              </w:rPr>
            </w:pPr>
            <w:r>
              <w:rPr>
                <w:rFonts w:ascii="DINOT" w:hAnsi="DINOT" w:cs="DINOT"/>
                <w:sz w:val="22"/>
              </w:rPr>
              <w:t>Regularly</w:t>
            </w:r>
            <w:r w:rsidR="007434E1" w:rsidRPr="00D82D9A">
              <w:rPr>
                <w:rFonts w:ascii="DINOT" w:hAnsi="DINOT" w:cs="DINOT"/>
                <w:sz w:val="22"/>
              </w:rPr>
              <w:t xml:space="preserve"> review your exception reporting dashboard </w:t>
            </w:r>
            <w:r>
              <w:rPr>
                <w:rFonts w:ascii="DINOT" w:hAnsi="DINOT" w:cs="DINOT"/>
                <w:sz w:val="22"/>
              </w:rPr>
              <w:t>and</w:t>
            </w:r>
            <w:r w:rsidR="007434E1" w:rsidRPr="00D82D9A">
              <w:rPr>
                <w:rFonts w:ascii="DINOT" w:hAnsi="DINOT" w:cs="DINOT"/>
                <w:sz w:val="22"/>
              </w:rPr>
              <w:t xml:space="preserve"> pick up any issues going forward. </w:t>
            </w:r>
          </w:p>
        </w:tc>
        <w:tc>
          <w:tcPr>
            <w:tcW w:w="725" w:type="dxa"/>
            <w:shd w:val="clear" w:color="auto" w:fill="FFFFFF" w:themeFill="background1"/>
          </w:tcPr>
          <w:p w14:paraId="43738DC8" w14:textId="77777777" w:rsidR="007434E1" w:rsidRDefault="007434E1" w:rsidP="001F6BC3">
            <w:pPr>
              <w:rPr>
                <w:rFonts w:ascii="DINOT" w:hAnsi="DINOT" w:cs="DINOT"/>
                <w:sz w:val="21"/>
                <w:szCs w:val="21"/>
              </w:rPr>
            </w:pPr>
          </w:p>
        </w:tc>
      </w:tr>
    </w:tbl>
    <w:p w14:paraId="55D089AA" w14:textId="2B54CB27" w:rsidR="005B4832" w:rsidRPr="00D82D9A" w:rsidRDefault="005B4832">
      <w:pPr>
        <w:rPr>
          <w:rFonts w:ascii="DINOT" w:hAnsi="DINOT" w:cs="DINOT"/>
          <w:b/>
          <w:sz w:val="22"/>
        </w:rPr>
      </w:pPr>
      <w:r w:rsidRPr="00D82D9A">
        <w:rPr>
          <w:rFonts w:ascii="DINOT" w:hAnsi="DINOT" w:cs="DINOT"/>
          <w:b/>
          <w:sz w:val="22"/>
        </w:rPr>
        <w:t xml:space="preserve">Reminder – the guardian must have an annual appraisal in line with appraisal policy. </w:t>
      </w:r>
    </w:p>
    <w:p w14:paraId="4CB087ED" w14:textId="3B00B3C2" w:rsidR="007434E1" w:rsidRPr="00D82D9A" w:rsidRDefault="007434E1">
      <w:pPr>
        <w:rPr>
          <w:rFonts w:ascii="DINOT" w:hAnsi="DINOT" w:cs="DINOT"/>
          <w:b/>
          <w:color w:val="FF481D"/>
          <w:sz w:val="12"/>
          <w:szCs w:val="23"/>
        </w:rPr>
      </w:pPr>
      <w:r w:rsidRPr="00D82D9A">
        <w:rPr>
          <w:rFonts w:ascii="DINOT" w:hAnsi="DINOT" w:cs="DINOT"/>
          <w:b/>
          <w:color w:val="FF481D"/>
          <w:sz w:val="36"/>
          <w:szCs w:val="44"/>
        </w:rPr>
        <w:t>Junior doctor rotational dates</w:t>
      </w:r>
    </w:p>
    <w:tbl>
      <w:tblPr>
        <w:tblStyle w:val="TableGrid"/>
        <w:tblW w:w="9868" w:type="dxa"/>
        <w:tblLook w:val="04A0" w:firstRow="1" w:lastRow="0" w:firstColumn="1" w:lastColumn="0" w:noHBand="0" w:noVBand="1"/>
      </w:tblPr>
      <w:tblGrid>
        <w:gridCol w:w="1988"/>
        <w:gridCol w:w="7117"/>
        <w:gridCol w:w="763"/>
      </w:tblGrid>
      <w:tr w:rsidR="007750A3" w:rsidRPr="00762890" w14:paraId="30868549" w14:textId="77777777" w:rsidTr="00D82D9A">
        <w:trPr>
          <w:trHeight w:val="347"/>
        </w:trPr>
        <w:tc>
          <w:tcPr>
            <w:tcW w:w="1992" w:type="dxa"/>
            <w:shd w:val="clear" w:color="auto" w:fill="FF481D"/>
          </w:tcPr>
          <w:p w14:paraId="3306DBDB" w14:textId="77777777" w:rsidR="00A8599A" w:rsidRPr="00762890" w:rsidRDefault="00A8599A">
            <w:pPr>
              <w:rPr>
                <w:rFonts w:ascii="DINOT" w:hAnsi="DINOT" w:cs="DINOT"/>
                <w:b/>
                <w:color w:val="FFFFFF" w:themeColor="background1"/>
                <w:sz w:val="23"/>
                <w:szCs w:val="23"/>
              </w:rPr>
            </w:pPr>
            <w:r w:rsidRPr="00762890">
              <w:rPr>
                <w:rFonts w:ascii="DINOT" w:hAnsi="DINOT" w:cs="DINOT"/>
                <w:b/>
                <w:color w:val="FFFFFF" w:themeColor="background1"/>
                <w:sz w:val="23"/>
                <w:szCs w:val="23"/>
              </w:rPr>
              <w:t>Date</w:t>
            </w:r>
          </w:p>
        </w:tc>
        <w:tc>
          <w:tcPr>
            <w:tcW w:w="7148" w:type="dxa"/>
            <w:shd w:val="clear" w:color="auto" w:fill="FF481D"/>
          </w:tcPr>
          <w:p w14:paraId="292D3095" w14:textId="77777777" w:rsidR="00A8599A" w:rsidRPr="00762890" w:rsidRDefault="00A8599A">
            <w:pPr>
              <w:rPr>
                <w:rFonts w:ascii="DINOT" w:hAnsi="DINOT" w:cs="DINOT"/>
                <w:b/>
                <w:color w:val="FFFFFF" w:themeColor="background1"/>
                <w:sz w:val="23"/>
                <w:szCs w:val="23"/>
              </w:rPr>
            </w:pPr>
            <w:r w:rsidRPr="00762890">
              <w:rPr>
                <w:rFonts w:ascii="DINOT" w:hAnsi="DINOT" w:cs="DINOT"/>
                <w:b/>
                <w:color w:val="FFFFFF" w:themeColor="background1"/>
                <w:sz w:val="23"/>
                <w:szCs w:val="23"/>
              </w:rPr>
              <w:t>Task</w:t>
            </w:r>
          </w:p>
        </w:tc>
        <w:tc>
          <w:tcPr>
            <w:tcW w:w="0" w:type="auto"/>
            <w:shd w:val="clear" w:color="auto" w:fill="FF481D"/>
          </w:tcPr>
          <w:p w14:paraId="45AD9DAB" w14:textId="0ED7CA0E" w:rsidR="00A8599A" w:rsidRPr="00762890" w:rsidRDefault="00F53CB9" w:rsidP="00762890">
            <w:pPr>
              <w:rPr>
                <w:rFonts w:ascii="DINOT" w:hAnsi="DINOT" w:cs="DINOT"/>
                <w:b/>
                <w:color w:val="FFFFFF" w:themeColor="background1"/>
                <w:sz w:val="23"/>
                <w:szCs w:val="23"/>
              </w:rPr>
            </w:pPr>
            <w:r w:rsidRPr="00762890">
              <w:rPr>
                <w:rFonts w:ascii="DINOT" w:hAnsi="DINOT" w:cs="DINOT"/>
                <w:b/>
                <w:color w:val="FFFFFF" w:themeColor="background1"/>
                <w:sz w:val="23"/>
                <w:szCs w:val="23"/>
              </w:rPr>
              <w:t>Done</w:t>
            </w:r>
          </w:p>
        </w:tc>
      </w:tr>
      <w:tr w:rsidR="002A3E9F" w:rsidRPr="00D82D9A" w14:paraId="5A072262" w14:textId="77777777" w:rsidTr="005E5937">
        <w:trPr>
          <w:trHeight w:val="328"/>
        </w:trPr>
        <w:tc>
          <w:tcPr>
            <w:tcW w:w="1992" w:type="dxa"/>
            <w:shd w:val="clear" w:color="auto" w:fill="FFFFFF" w:themeFill="background1"/>
          </w:tcPr>
          <w:p w14:paraId="23E2AD2F" w14:textId="78C771D4" w:rsidR="002A3E9F" w:rsidRPr="00D82D9A" w:rsidRDefault="008936EA" w:rsidP="00545D2F">
            <w:pPr>
              <w:rPr>
                <w:rFonts w:ascii="DINOT" w:hAnsi="DINOT" w:cs="DINOT"/>
                <w:sz w:val="22"/>
              </w:rPr>
            </w:pPr>
            <w:r w:rsidRPr="00D82D9A">
              <w:rPr>
                <w:rFonts w:ascii="DINOT" w:hAnsi="DINOT" w:cs="DINOT"/>
                <w:sz w:val="22"/>
              </w:rPr>
              <w:t xml:space="preserve">August-October </w:t>
            </w:r>
          </w:p>
        </w:tc>
        <w:tc>
          <w:tcPr>
            <w:tcW w:w="7148" w:type="dxa"/>
            <w:shd w:val="clear" w:color="auto" w:fill="FFFFFF" w:themeFill="background1"/>
          </w:tcPr>
          <w:p w14:paraId="4A1AA1F7" w14:textId="3EC8ED1F" w:rsidR="002A3E9F" w:rsidRPr="00D82D9A" w:rsidDel="00D16201" w:rsidRDefault="002A3E9F" w:rsidP="00BD2339">
            <w:pPr>
              <w:rPr>
                <w:rFonts w:ascii="DINOT" w:hAnsi="DINOT" w:cs="DINOT"/>
                <w:sz w:val="22"/>
              </w:rPr>
            </w:pPr>
            <w:r w:rsidRPr="00D82D9A">
              <w:rPr>
                <w:rFonts w:ascii="DINOT" w:hAnsi="DINOT" w:cs="DINOT"/>
                <w:sz w:val="22"/>
              </w:rPr>
              <w:t xml:space="preserve">Attend inductions </w:t>
            </w:r>
            <w:r w:rsidR="00D82D9A">
              <w:rPr>
                <w:rFonts w:ascii="DINOT" w:hAnsi="DINOT" w:cs="DINOT"/>
                <w:sz w:val="22"/>
              </w:rPr>
              <w:t>to</w:t>
            </w:r>
            <w:r w:rsidRPr="00D82D9A">
              <w:rPr>
                <w:rFonts w:ascii="DINOT" w:hAnsi="DINOT" w:cs="DINOT"/>
                <w:sz w:val="22"/>
              </w:rPr>
              <w:t xml:space="preserve"> introduce yourself and your role.</w:t>
            </w:r>
          </w:p>
        </w:tc>
        <w:tc>
          <w:tcPr>
            <w:tcW w:w="0" w:type="auto"/>
            <w:shd w:val="clear" w:color="auto" w:fill="FFFFFF" w:themeFill="background1"/>
          </w:tcPr>
          <w:p w14:paraId="7AC45BEA" w14:textId="77777777" w:rsidR="002A3E9F" w:rsidRPr="00D82D9A" w:rsidRDefault="002A3E9F" w:rsidP="00545D2F">
            <w:pPr>
              <w:rPr>
                <w:rFonts w:ascii="DINOT" w:hAnsi="DINOT" w:cs="DINOT"/>
                <w:sz w:val="22"/>
              </w:rPr>
            </w:pPr>
          </w:p>
        </w:tc>
      </w:tr>
      <w:tr w:rsidR="008936EA" w:rsidRPr="00D82D9A" w14:paraId="503F96E1" w14:textId="77777777" w:rsidTr="005E5937">
        <w:trPr>
          <w:trHeight w:val="328"/>
        </w:trPr>
        <w:tc>
          <w:tcPr>
            <w:tcW w:w="1992" w:type="dxa"/>
            <w:shd w:val="clear" w:color="auto" w:fill="FFFFFF" w:themeFill="background1"/>
          </w:tcPr>
          <w:p w14:paraId="2D0A1E18" w14:textId="0CF1EF83" w:rsidR="008936EA" w:rsidRPr="00D82D9A" w:rsidRDefault="008936EA" w:rsidP="008936EA">
            <w:pPr>
              <w:rPr>
                <w:rFonts w:ascii="DINOT" w:hAnsi="DINOT" w:cs="DINOT"/>
                <w:sz w:val="22"/>
              </w:rPr>
            </w:pPr>
            <w:r w:rsidRPr="00D82D9A">
              <w:rPr>
                <w:rFonts w:ascii="DINOT" w:hAnsi="DINOT" w:cs="DINOT"/>
                <w:sz w:val="22"/>
              </w:rPr>
              <w:t xml:space="preserve">By end November </w:t>
            </w:r>
          </w:p>
        </w:tc>
        <w:tc>
          <w:tcPr>
            <w:tcW w:w="7148" w:type="dxa"/>
            <w:shd w:val="clear" w:color="auto" w:fill="FFFFFF" w:themeFill="background1"/>
          </w:tcPr>
          <w:p w14:paraId="78313736" w14:textId="387E3C72" w:rsidR="008936EA" w:rsidRPr="00D82D9A" w:rsidRDefault="008936EA" w:rsidP="008936EA">
            <w:pPr>
              <w:rPr>
                <w:rFonts w:ascii="DINOT" w:hAnsi="DINOT" w:cs="DINOT"/>
                <w:sz w:val="22"/>
              </w:rPr>
            </w:pPr>
            <w:r w:rsidRPr="00D82D9A">
              <w:rPr>
                <w:rFonts w:ascii="DINOT" w:hAnsi="DINOT" w:cs="DINOT"/>
                <w:sz w:val="22"/>
              </w:rPr>
              <w:t>Attend first meeting of the junior doctor forum, as per Schedule 6 para 13.</w:t>
            </w:r>
          </w:p>
        </w:tc>
        <w:tc>
          <w:tcPr>
            <w:tcW w:w="0" w:type="auto"/>
            <w:shd w:val="clear" w:color="auto" w:fill="FFFFFF" w:themeFill="background1"/>
          </w:tcPr>
          <w:p w14:paraId="1320112D" w14:textId="77777777" w:rsidR="008936EA" w:rsidRPr="00D82D9A" w:rsidRDefault="008936EA" w:rsidP="008936EA">
            <w:pPr>
              <w:rPr>
                <w:rFonts w:ascii="DINOT" w:hAnsi="DINOT" w:cs="DINOT"/>
                <w:sz w:val="22"/>
              </w:rPr>
            </w:pPr>
          </w:p>
        </w:tc>
      </w:tr>
      <w:tr w:rsidR="008936EA" w:rsidRPr="00D82D9A" w14:paraId="6CCE70E2" w14:textId="77777777" w:rsidTr="005E5937">
        <w:trPr>
          <w:trHeight w:val="328"/>
        </w:trPr>
        <w:tc>
          <w:tcPr>
            <w:tcW w:w="1992" w:type="dxa"/>
            <w:shd w:val="clear" w:color="auto" w:fill="FFFFFF" w:themeFill="background1"/>
          </w:tcPr>
          <w:p w14:paraId="2EF6AFF2" w14:textId="1707F5C8" w:rsidR="008936EA" w:rsidRPr="00D82D9A" w:rsidRDefault="008936EA" w:rsidP="008936EA">
            <w:pPr>
              <w:rPr>
                <w:rFonts w:ascii="DINOT" w:hAnsi="DINOT" w:cs="DINOT"/>
                <w:sz w:val="22"/>
              </w:rPr>
            </w:pPr>
            <w:r w:rsidRPr="00D82D9A">
              <w:rPr>
                <w:rFonts w:ascii="DINOT" w:hAnsi="DINOT" w:cs="DINOT"/>
                <w:sz w:val="22"/>
              </w:rPr>
              <w:t xml:space="preserve">December </w:t>
            </w:r>
          </w:p>
        </w:tc>
        <w:tc>
          <w:tcPr>
            <w:tcW w:w="7148" w:type="dxa"/>
            <w:shd w:val="clear" w:color="auto" w:fill="FFFFFF" w:themeFill="background1"/>
          </w:tcPr>
          <w:p w14:paraId="48C89F4B" w14:textId="71CE3B3C" w:rsidR="008936EA" w:rsidRPr="00D82D9A" w:rsidRDefault="008936EA" w:rsidP="008936EA">
            <w:pPr>
              <w:rPr>
                <w:rFonts w:ascii="DINOT" w:hAnsi="DINOT" w:cs="DINOT"/>
                <w:sz w:val="22"/>
              </w:rPr>
            </w:pPr>
            <w:r w:rsidRPr="00D82D9A">
              <w:rPr>
                <w:rFonts w:ascii="DINOT" w:hAnsi="DINOT" w:cs="DINOT"/>
                <w:sz w:val="22"/>
              </w:rPr>
              <w:t xml:space="preserve">Foundation year 1 doctors </w:t>
            </w:r>
            <w:r w:rsidR="00D535AC" w:rsidRPr="00D82D9A">
              <w:rPr>
                <w:rFonts w:ascii="DINOT" w:hAnsi="DINOT" w:cs="DINOT"/>
                <w:sz w:val="22"/>
              </w:rPr>
              <w:t>and</w:t>
            </w:r>
            <w:r w:rsidRPr="00D82D9A">
              <w:rPr>
                <w:rFonts w:ascii="DINOT" w:hAnsi="DINOT" w:cs="DINOT"/>
                <w:sz w:val="22"/>
              </w:rPr>
              <w:t xml:space="preserve"> fou</w:t>
            </w:r>
            <w:r w:rsidR="00D535AC" w:rsidRPr="00D82D9A">
              <w:rPr>
                <w:rFonts w:ascii="DINOT" w:hAnsi="DINOT" w:cs="DINOT"/>
                <w:sz w:val="22"/>
              </w:rPr>
              <w:t xml:space="preserve">ndation year 2 doctors rotate.  </w:t>
            </w:r>
          </w:p>
        </w:tc>
        <w:tc>
          <w:tcPr>
            <w:tcW w:w="0" w:type="auto"/>
            <w:shd w:val="clear" w:color="auto" w:fill="FFFFFF" w:themeFill="background1"/>
          </w:tcPr>
          <w:p w14:paraId="5393EBEB" w14:textId="77777777" w:rsidR="008936EA" w:rsidRPr="00D82D9A" w:rsidRDefault="008936EA" w:rsidP="008936EA">
            <w:pPr>
              <w:rPr>
                <w:rFonts w:ascii="DINOT" w:hAnsi="DINOT" w:cs="DINOT"/>
                <w:sz w:val="22"/>
              </w:rPr>
            </w:pPr>
          </w:p>
        </w:tc>
      </w:tr>
      <w:tr w:rsidR="008936EA" w:rsidRPr="00D82D9A" w14:paraId="55CB9BEC" w14:textId="77777777" w:rsidTr="005E5937">
        <w:trPr>
          <w:trHeight w:val="308"/>
        </w:trPr>
        <w:tc>
          <w:tcPr>
            <w:tcW w:w="1992" w:type="dxa"/>
            <w:shd w:val="clear" w:color="auto" w:fill="FFFFFF" w:themeFill="background1"/>
          </w:tcPr>
          <w:p w14:paraId="19C9E6AB" w14:textId="3B34EB65" w:rsidR="008936EA" w:rsidRPr="00D82D9A" w:rsidRDefault="008936EA" w:rsidP="008936EA">
            <w:pPr>
              <w:rPr>
                <w:rFonts w:ascii="DINOT" w:hAnsi="DINOT" w:cs="DINOT"/>
                <w:sz w:val="22"/>
              </w:rPr>
            </w:pPr>
            <w:r w:rsidRPr="00D82D9A">
              <w:rPr>
                <w:rFonts w:ascii="DINOT" w:hAnsi="DINOT" w:cs="DINOT"/>
                <w:sz w:val="22"/>
              </w:rPr>
              <w:t xml:space="preserve">February </w:t>
            </w:r>
          </w:p>
        </w:tc>
        <w:tc>
          <w:tcPr>
            <w:tcW w:w="7148" w:type="dxa"/>
            <w:shd w:val="clear" w:color="auto" w:fill="FFFFFF" w:themeFill="background1"/>
          </w:tcPr>
          <w:p w14:paraId="71A2FF1E" w14:textId="3D3D9614" w:rsidR="008936EA" w:rsidRPr="00D82D9A" w:rsidRDefault="008936EA" w:rsidP="008936EA">
            <w:pPr>
              <w:rPr>
                <w:rFonts w:ascii="DINOT" w:hAnsi="DINOT" w:cs="DINOT"/>
                <w:sz w:val="22"/>
              </w:rPr>
            </w:pPr>
            <w:r w:rsidRPr="00D82D9A">
              <w:rPr>
                <w:rFonts w:ascii="DINOT" w:hAnsi="DINOT" w:cs="DINOT"/>
                <w:sz w:val="22"/>
              </w:rPr>
              <w:t xml:space="preserve">Attend inductions </w:t>
            </w:r>
            <w:r w:rsidR="00D82D9A">
              <w:rPr>
                <w:rFonts w:ascii="DINOT" w:hAnsi="DINOT" w:cs="DINOT"/>
                <w:sz w:val="22"/>
              </w:rPr>
              <w:t>to</w:t>
            </w:r>
            <w:r w:rsidRPr="00D82D9A">
              <w:rPr>
                <w:rFonts w:ascii="DINOT" w:hAnsi="DINOT" w:cs="DINOT"/>
                <w:sz w:val="22"/>
              </w:rPr>
              <w:t xml:space="preserve"> introduce yourself and your role.</w:t>
            </w:r>
          </w:p>
        </w:tc>
        <w:tc>
          <w:tcPr>
            <w:tcW w:w="0" w:type="auto"/>
            <w:shd w:val="clear" w:color="auto" w:fill="FFFFFF" w:themeFill="background1"/>
          </w:tcPr>
          <w:p w14:paraId="1522094D" w14:textId="77777777" w:rsidR="008936EA" w:rsidRPr="00D82D9A" w:rsidRDefault="008936EA" w:rsidP="008936EA">
            <w:pPr>
              <w:rPr>
                <w:rFonts w:ascii="DINOT" w:hAnsi="DINOT" w:cs="DINOT"/>
                <w:sz w:val="22"/>
              </w:rPr>
            </w:pPr>
          </w:p>
        </w:tc>
      </w:tr>
      <w:tr w:rsidR="00D535AC" w:rsidRPr="00D82D9A" w14:paraId="5D321026" w14:textId="77777777" w:rsidTr="005E5937">
        <w:trPr>
          <w:trHeight w:val="328"/>
        </w:trPr>
        <w:tc>
          <w:tcPr>
            <w:tcW w:w="1992" w:type="dxa"/>
            <w:shd w:val="clear" w:color="auto" w:fill="FFFFFF" w:themeFill="background1"/>
          </w:tcPr>
          <w:p w14:paraId="70043CB8" w14:textId="0678C138" w:rsidR="00D535AC" w:rsidRPr="00D82D9A" w:rsidRDefault="00D535AC" w:rsidP="008936EA">
            <w:pPr>
              <w:rPr>
                <w:rFonts w:ascii="DINOT" w:hAnsi="DINOT" w:cs="DINOT"/>
                <w:sz w:val="22"/>
              </w:rPr>
            </w:pPr>
            <w:r w:rsidRPr="00D82D9A">
              <w:rPr>
                <w:rFonts w:ascii="DINOT" w:hAnsi="DINOT" w:cs="DINOT"/>
                <w:sz w:val="22"/>
              </w:rPr>
              <w:t>April</w:t>
            </w:r>
          </w:p>
        </w:tc>
        <w:tc>
          <w:tcPr>
            <w:tcW w:w="7148" w:type="dxa"/>
            <w:shd w:val="clear" w:color="auto" w:fill="FFFFFF" w:themeFill="background1"/>
          </w:tcPr>
          <w:p w14:paraId="6D9A4DE3" w14:textId="056F12B1" w:rsidR="00D535AC" w:rsidRPr="00D82D9A" w:rsidRDefault="00D535AC" w:rsidP="008936EA">
            <w:pPr>
              <w:rPr>
                <w:rFonts w:ascii="DINOT" w:hAnsi="DINOT" w:cs="DINOT"/>
                <w:sz w:val="22"/>
              </w:rPr>
            </w:pPr>
            <w:r w:rsidRPr="00D82D9A">
              <w:rPr>
                <w:rFonts w:ascii="DINOT" w:hAnsi="DINOT" w:cs="DINOT"/>
                <w:sz w:val="22"/>
              </w:rPr>
              <w:t>Foundation year 1 doctors and foundation year 2 doctors rotate.</w:t>
            </w:r>
          </w:p>
        </w:tc>
        <w:tc>
          <w:tcPr>
            <w:tcW w:w="0" w:type="auto"/>
            <w:shd w:val="clear" w:color="auto" w:fill="FFFFFF" w:themeFill="background1"/>
          </w:tcPr>
          <w:p w14:paraId="53AADECC" w14:textId="77777777" w:rsidR="00D535AC" w:rsidRPr="00D82D9A" w:rsidRDefault="00D535AC" w:rsidP="008936EA">
            <w:pPr>
              <w:rPr>
                <w:rFonts w:ascii="DINOT" w:hAnsi="DINOT" w:cs="DINOT"/>
                <w:sz w:val="22"/>
              </w:rPr>
            </w:pPr>
          </w:p>
        </w:tc>
      </w:tr>
    </w:tbl>
    <w:p w14:paraId="44DC9689" w14:textId="0F15AF18" w:rsidR="00974AA1" w:rsidRPr="00D82D9A" w:rsidRDefault="00974AA1" w:rsidP="00762890">
      <w:pPr>
        <w:rPr>
          <w:rFonts w:ascii="DINOT" w:hAnsi="DINOT" w:cs="DINOT"/>
          <w:b/>
          <w:sz w:val="22"/>
        </w:rPr>
      </w:pPr>
      <w:r w:rsidRPr="00D82D9A">
        <w:rPr>
          <w:rFonts w:ascii="DINOT" w:hAnsi="DINOT" w:cs="DINOT"/>
          <w:b/>
          <w:sz w:val="22"/>
        </w:rPr>
        <w:t>Note: Consider attending foundation year 1 doctors and foundation year 2 doctors teaching following on from the inductions.</w:t>
      </w:r>
    </w:p>
    <w:p w14:paraId="26E5AF15" w14:textId="383E30A2" w:rsidR="007434E1" w:rsidRPr="00D82D9A" w:rsidRDefault="007434E1" w:rsidP="00762890">
      <w:pPr>
        <w:rPr>
          <w:rFonts w:ascii="DINOT" w:hAnsi="DINOT" w:cs="DINOT"/>
          <w:b/>
          <w:color w:val="FF481D"/>
          <w:sz w:val="12"/>
          <w:szCs w:val="23"/>
        </w:rPr>
      </w:pPr>
      <w:r w:rsidRPr="00D82D9A">
        <w:rPr>
          <w:rFonts w:ascii="DINOT" w:hAnsi="DINOT" w:cs="DINOT"/>
          <w:b/>
          <w:color w:val="FF481D"/>
          <w:sz w:val="36"/>
          <w:szCs w:val="44"/>
        </w:rPr>
        <w:t>Reports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105"/>
        <w:gridCol w:w="763"/>
      </w:tblGrid>
      <w:tr w:rsidR="00D27C70" w:rsidRPr="00762890" w14:paraId="0D5C5832" w14:textId="77777777" w:rsidTr="00D82D9A">
        <w:tc>
          <w:tcPr>
            <w:tcW w:w="1980" w:type="dxa"/>
            <w:shd w:val="clear" w:color="auto" w:fill="FF481D"/>
          </w:tcPr>
          <w:p w14:paraId="69D811B3" w14:textId="77777777" w:rsidR="00D27C70" w:rsidRPr="00762890" w:rsidRDefault="00D27C70" w:rsidP="001F6BC3">
            <w:pPr>
              <w:rPr>
                <w:rFonts w:ascii="DINOT" w:hAnsi="DINOT" w:cs="DINOT"/>
                <w:b/>
                <w:color w:val="FFFFFF" w:themeColor="background1"/>
                <w:sz w:val="23"/>
                <w:szCs w:val="23"/>
              </w:rPr>
            </w:pPr>
            <w:r w:rsidRPr="00762890">
              <w:rPr>
                <w:rFonts w:ascii="DINOT" w:hAnsi="DINOT" w:cs="DINOT"/>
                <w:b/>
                <w:color w:val="FFFFFF" w:themeColor="background1"/>
                <w:sz w:val="23"/>
                <w:szCs w:val="23"/>
              </w:rPr>
              <w:t>Date</w:t>
            </w:r>
          </w:p>
        </w:tc>
        <w:tc>
          <w:tcPr>
            <w:tcW w:w="7105" w:type="dxa"/>
            <w:shd w:val="clear" w:color="auto" w:fill="FF481D"/>
          </w:tcPr>
          <w:p w14:paraId="212BF6A4" w14:textId="77777777" w:rsidR="00D27C70" w:rsidRPr="00762890" w:rsidRDefault="00D27C70" w:rsidP="001F6BC3">
            <w:pPr>
              <w:rPr>
                <w:rFonts w:ascii="DINOT" w:hAnsi="DINOT" w:cs="DINOT"/>
                <w:b/>
                <w:color w:val="FFFFFF" w:themeColor="background1"/>
                <w:sz w:val="23"/>
                <w:szCs w:val="23"/>
              </w:rPr>
            </w:pPr>
            <w:r w:rsidRPr="00762890">
              <w:rPr>
                <w:rFonts w:ascii="DINOT" w:hAnsi="DINOT" w:cs="DINOT"/>
                <w:b/>
                <w:color w:val="FFFFFF" w:themeColor="background1"/>
                <w:sz w:val="23"/>
                <w:szCs w:val="23"/>
              </w:rPr>
              <w:t>Task</w:t>
            </w:r>
          </w:p>
        </w:tc>
        <w:tc>
          <w:tcPr>
            <w:tcW w:w="0" w:type="auto"/>
            <w:shd w:val="clear" w:color="auto" w:fill="FF481D"/>
          </w:tcPr>
          <w:p w14:paraId="2EA1B9A9" w14:textId="77777777" w:rsidR="00D27C70" w:rsidRPr="00762890" w:rsidRDefault="00D27C70" w:rsidP="001F6BC3">
            <w:pPr>
              <w:rPr>
                <w:rFonts w:ascii="DINOT" w:hAnsi="DINOT" w:cs="DINOT"/>
                <w:b/>
                <w:color w:val="FFFFFF" w:themeColor="background1"/>
                <w:sz w:val="23"/>
                <w:szCs w:val="23"/>
              </w:rPr>
            </w:pPr>
            <w:r w:rsidRPr="00762890">
              <w:rPr>
                <w:rFonts w:ascii="DINOT" w:hAnsi="DINOT" w:cs="DINOT"/>
                <w:b/>
                <w:color w:val="FFFFFF" w:themeColor="background1"/>
                <w:sz w:val="23"/>
                <w:szCs w:val="23"/>
              </w:rPr>
              <w:t>Done</w:t>
            </w:r>
          </w:p>
        </w:tc>
      </w:tr>
      <w:tr w:rsidR="00D27C70" w:rsidRPr="00D82D9A" w14:paraId="0377443B" w14:textId="77777777" w:rsidTr="001F6BC3">
        <w:tc>
          <w:tcPr>
            <w:tcW w:w="1980" w:type="dxa"/>
            <w:shd w:val="clear" w:color="auto" w:fill="FFFFFF" w:themeFill="background1"/>
          </w:tcPr>
          <w:p w14:paraId="0B1AA403" w14:textId="38FAD26B" w:rsidR="00D27C70" w:rsidRPr="00D82D9A" w:rsidRDefault="00D27C70" w:rsidP="001F6BC3">
            <w:pPr>
              <w:rPr>
                <w:rFonts w:ascii="DINOT" w:hAnsi="DINOT" w:cs="DINOT"/>
                <w:color w:val="FF0000"/>
                <w:sz w:val="22"/>
              </w:rPr>
            </w:pPr>
            <w:r w:rsidRPr="00D82D9A">
              <w:rPr>
                <w:rFonts w:ascii="DINOT" w:hAnsi="DINOT" w:cs="DINOT"/>
                <w:color w:val="FF0000"/>
                <w:sz w:val="22"/>
              </w:rPr>
              <w:t>[Insert date]</w:t>
            </w:r>
          </w:p>
        </w:tc>
        <w:tc>
          <w:tcPr>
            <w:tcW w:w="7105" w:type="dxa"/>
            <w:shd w:val="clear" w:color="auto" w:fill="FFFFFF" w:themeFill="background1"/>
          </w:tcPr>
          <w:p w14:paraId="1812C68F" w14:textId="477887B7" w:rsidR="00D27C70" w:rsidRPr="00D82D9A" w:rsidRDefault="00D27C70" w:rsidP="001F6BC3">
            <w:pPr>
              <w:rPr>
                <w:rFonts w:ascii="DINOT" w:hAnsi="DINOT" w:cs="DINOT"/>
                <w:sz w:val="22"/>
              </w:rPr>
            </w:pPr>
            <w:r w:rsidRPr="00D82D9A">
              <w:rPr>
                <w:rFonts w:ascii="DINOT" w:hAnsi="DINOT" w:cs="DINOT"/>
                <w:sz w:val="22"/>
              </w:rPr>
              <w:t xml:space="preserve">Guardian quarterly report to the </w:t>
            </w:r>
            <w:r w:rsidR="00D82D9A">
              <w:rPr>
                <w:rFonts w:ascii="DINOT" w:hAnsi="DINOT" w:cs="DINOT"/>
                <w:sz w:val="22"/>
              </w:rPr>
              <w:t>b</w:t>
            </w:r>
            <w:r w:rsidRPr="00D82D9A">
              <w:rPr>
                <w:rFonts w:ascii="DINOT" w:hAnsi="DINOT" w:cs="DINOT"/>
                <w:sz w:val="22"/>
              </w:rPr>
              <w:t xml:space="preserve">oard due and provided to the LNC (or equivalent). </w:t>
            </w:r>
          </w:p>
        </w:tc>
        <w:tc>
          <w:tcPr>
            <w:tcW w:w="0" w:type="auto"/>
            <w:shd w:val="clear" w:color="auto" w:fill="FFFFFF" w:themeFill="background1"/>
          </w:tcPr>
          <w:p w14:paraId="235809A8" w14:textId="77777777" w:rsidR="00D27C70" w:rsidRPr="00D82D9A" w:rsidRDefault="00D27C70" w:rsidP="001F6BC3">
            <w:pPr>
              <w:rPr>
                <w:rFonts w:ascii="DINOT" w:hAnsi="DINOT" w:cs="DINOT"/>
                <w:sz w:val="22"/>
              </w:rPr>
            </w:pPr>
          </w:p>
        </w:tc>
      </w:tr>
      <w:tr w:rsidR="00D27C70" w:rsidRPr="00D82D9A" w14:paraId="5E042539" w14:textId="77777777" w:rsidTr="001F6BC3">
        <w:tc>
          <w:tcPr>
            <w:tcW w:w="1980" w:type="dxa"/>
            <w:shd w:val="clear" w:color="auto" w:fill="FFFFFF" w:themeFill="background1"/>
          </w:tcPr>
          <w:p w14:paraId="3BAC5012" w14:textId="45C93B4E" w:rsidR="00D27C70" w:rsidRPr="00D82D9A" w:rsidRDefault="00D27C70" w:rsidP="001F6BC3">
            <w:pPr>
              <w:rPr>
                <w:rFonts w:ascii="DINOT" w:hAnsi="DINOT" w:cs="DINOT"/>
                <w:sz w:val="22"/>
              </w:rPr>
            </w:pPr>
            <w:r w:rsidRPr="00D82D9A">
              <w:rPr>
                <w:rFonts w:ascii="DINOT" w:hAnsi="DINOT" w:cs="DINOT"/>
                <w:color w:val="FF0000"/>
                <w:sz w:val="22"/>
              </w:rPr>
              <w:t>[Insert date]</w:t>
            </w:r>
          </w:p>
        </w:tc>
        <w:tc>
          <w:tcPr>
            <w:tcW w:w="7105" w:type="dxa"/>
            <w:shd w:val="clear" w:color="auto" w:fill="FFFFFF" w:themeFill="background1"/>
          </w:tcPr>
          <w:p w14:paraId="5C889FAC" w14:textId="77777777" w:rsidR="00D27C70" w:rsidRPr="00D82D9A" w:rsidRDefault="00D27C70" w:rsidP="001F6BC3">
            <w:pPr>
              <w:rPr>
                <w:rFonts w:ascii="DINOT" w:hAnsi="DINOT" w:cs="DINOT"/>
                <w:sz w:val="22"/>
              </w:rPr>
            </w:pPr>
            <w:r w:rsidRPr="00D82D9A">
              <w:rPr>
                <w:rFonts w:ascii="DINOT" w:hAnsi="DINOT" w:cs="DINOT"/>
                <w:sz w:val="22"/>
              </w:rPr>
              <w:t xml:space="preserve">Guardian quarterly report to the board due and provided to the LNC (or equivalent). </w:t>
            </w:r>
          </w:p>
        </w:tc>
        <w:tc>
          <w:tcPr>
            <w:tcW w:w="0" w:type="auto"/>
            <w:shd w:val="clear" w:color="auto" w:fill="FFFFFF" w:themeFill="background1"/>
          </w:tcPr>
          <w:p w14:paraId="00628139" w14:textId="77777777" w:rsidR="00D27C70" w:rsidRPr="00D82D9A" w:rsidRDefault="00D27C70" w:rsidP="001F6BC3">
            <w:pPr>
              <w:rPr>
                <w:rFonts w:ascii="DINOT" w:hAnsi="DINOT" w:cs="DINOT"/>
                <w:sz w:val="22"/>
              </w:rPr>
            </w:pPr>
          </w:p>
        </w:tc>
      </w:tr>
      <w:tr w:rsidR="00D27C70" w:rsidRPr="00D82D9A" w14:paraId="5F1AFB63" w14:textId="77777777" w:rsidTr="001F6BC3">
        <w:tc>
          <w:tcPr>
            <w:tcW w:w="1980" w:type="dxa"/>
            <w:shd w:val="clear" w:color="auto" w:fill="FFFFFF" w:themeFill="background1"/>
          </w:tcPr>
          <w:p w14:paraId="1C573B92" w14:textId="7581421D" w:rsidR="00D27C70" w:rsidRPr="00D82D9A" w:rsidRDefault="00D27C70" w:rsidP="001F6BC3">
            <w:pPr>
              <w:rPr>
                <w:rFonts w:ascii="DINOT" w:hAnsi="DINOT" w:cs="DINOT"/>
                <w:sz w:val="22"/>
              </w:rPr>
            </w:pPr>
            <w:r w:rsidRPr="00D82D9A">
              <w:rPr>
                <w:rFonts w:ascii="DINOT" w:hAnsi="DINOT" w:cs="DINOT"/>
                <w:color w:val="FF0000"/>
                <w:sz w:val="22"/>
              </w:rPr>
              <w:t>[Insert date]</w:t>
            </w:r>
          </w:p>
        </w:tc>
        <w:tc>
          <w:tcPr>
            <w:tcW w:w="7105" w:type="dxa"/>
            <w:shd w:val="clear" w:color="auto" w:fill="FFFFFF" w:themeFill="background1"/>
          </w:tcPr>
          <w:p w14:paraId="5994FE1E" w14:textId="77777777" w:rsidR="00D27C70" w:rsidRPr="00D82D9A" w:rsidRDefault="00D27C70" w:rsidP="001F6BC3">
            <w:pPr>
              <w:rPr>
                <w:rFonts w:ascii="DINOT" w:hAnsi="DINOT" w:cs="DINOT"/>
                <w:sz w:val="22"/>
              </w:rPr>
            </w:pPr>
            <w:r w:rsidRPr="00D82D9A">
              <w:rPr>
                <w:rFonts w:ascii="DINOT" w:hAnsi="DINOT" w:cs="DINOT"/>
                <w:sz w:val="22"/>
              </w:rPr>
              <w:t xml:space="preserve">Guardian quarterly report to the board due and provided to the LNC (or equivalent). </w:t>
            </w:r>
          </w:p>
        </w:tc>
        <w:tc>
          <w:tcPr>
            <w:tcW w:w="0" w:type="auto"/>
            <w:shd w:val="clear" w:color="auto" w:fill="FFFFFF" w:themeFill="background1"/>
          </w:tcPr>
          <w:p w14:paraId="43E5B9F0" w14:textId="77777777" w:rsidR="00D27C70" w:rsidRPr="00D82D9A" w:rsidRDefault="00D27C70" w:rsidP="001F6BC3">
            <w:pPr>
              <w:rPr>
                <w:rFonts w:ascii="DINOT" w:hAnsi="DINOT" w:cs="DINOT"/>
                <w:sz w:val="22"/>
              </w:rPr>
            </w:pPr>
          </w:p>
        </w:tc>
      </w:tr>
      <w:tr w:rsidR="00D27C70" w:rsidRPr="00D82D9A" w14:paraId="064B8E26" w14:textId="77777777" w:rsidTr="001F6BC3">
        <w:tc>
          <w:tcPr>
            <w:tcW w:w="1980" w:type="dxa"/>
            <w:shd w:val="clear" w:color="auto" w:fill="FFFFFF" w:themeFill="background1"/>
          </w:tcPr>
          <w:p w14:paraId="78DC5082" w14:textId="72A5C3DB" w:rsidR="00D27C70" w:rsidRPr="00D82D9A" w:rsidRDefault="00D27C70" w:rsidP="001F6BC3">
            <w:pPr>
              <w:rPr>
                <w:rFonts w:ascii="DINOT" w:hAnsi="DINOT" w:cs="DINOT"/>
                <w:sz w:val="22"/>
              </w:rPr>
            </w:pPr>
            <w:r w:rsidRPr="00D82D9A">
              <w:rPr>
                <w:rFonts w:ascii="DINOT" w:hAnsi="DINOT" w:cs="DINOT"/>
                <w:color w:val="FF0000"/>
                <w:sz w:val="22"/>
              </w:rPr>
              <w:t>[Insert date]</w:t>
            </w:r>
          </w:p>
        </w:tc>
        <w:tc>
          <w:tcPr>
            <w:tcW w:w="7105" w:type="dxa"/>
            <w:shd w:val="clear" w:color="auto" w:fill="FFFFFF" w:themeFill="background1"/>
          </w:tcPr>
          <w:p w14:paraId="37098CC7" w14:textId="77777777" w:rsidR="00D27C70" w:rsidRPr="00D82D9A" w:rsidRDefault="00D27C70" w:rsidP="001F6BC3">
            <w:pPr>
              <w:rPr>
                <w:rFonts w:ascii="DINOT" w:hAnsi="DINOT" w:cs="DINOT"/>
                <w:sz w:val="22"/>
              </w:rPr>
            </w:pPr>
            <w:r w:rsidRPr="00D82D9A">
              <w:rPr>
                <w:rFonts w:ascii="DINOT" w:hAnsi="DINOT" w:cs="DINOT"/>
                <w:sz w:val="22"/>
              </w:rPr>
              <w:t>Guardian quarterly report due to the board and provided to the LNC (or equivalent).</w:t>
            </w:r>
          </w:p>
        </w:tc>
        <w:tc>
          <w:tcPr>
            <w:tcW w:w="0" w:type="auto"/>
            <w:shd w:val="clear" w:color="auto" w:fill="FFFFFF" w:themeFill="background1"/>
          </w:tcPr>
          <w:p w14:paraId="046A8A62" w14:textId="77777777" w:rsidR="00D27C70" w:rsidRPr="00D82D9A" w:rsidRDefault="00D27C70" w:rsidP="001F6BC3">
            <w:pPr>
              <w:rPr>
                <w:rFonts w:ascii="DINOT" w:hAnsi="DINOT" w:cs="DINOT"/>
                <w:sz w:val="22"/>
              </w:rPr>
            </w:pPr>
          </w:p>
        </w:tc>
      </w:tr>
      <w:tr w:rsidR="007434E1" w:rsidRPr="00D82D9A" w14:paraId="3307B83C" w14:textId="77777777" w:rsidTr="001F6BC3">
        <w:tc>
          <w:tcPr>
            <w:tcW w:w="1980" w:type="dxa"/>
            <w:shd w:val="clear" w:color="auto" w:fill="FFFFFF" w:themeFill="background1"/>
          </w:tcPr>
          <w:p w14:paraId="77B52138" w14:textId="08A09F23" w:rsidR="007434E1" w:rsidRPr="00D82D9A" w:rsidRDefault="007434E1" w:rsidP="007434E1">
            <w:pPr>
              <w:rPr>
                <w:rFonts w:ascii="DINOT" w:hAnsi="DINOT" w:cs="DINOT"/>
                <w:color w:val="FF0000"/>
                <w:sz w:val="22"/>
              </w:rPr>
            </w:pPr>
            <w:r w:rsidRPr="00D82D9A">
              <w:rPr>
                <w:rFonts w:ascii="DINOT" w:hAnsi="DINOT" w:cs="DINOT"/>
                <w:sz w:val="22"/>
              </w:rPr>
              <w:t>April/May</w:t>
            </w:r>
          </w:p>
        </w:tc>
        <w:tc>
          <w:tcPr>
            <w:tcW w:w="7105" w:type="dxa"/>
            <w:shd w:val="clear" w:color="auto" w:fill="FFFFFF" w:themeFill="background1"/>
          </w:tcPr>
          <w:p w14:paraId="7AC850C2" w14:textId="534BDABE" w:rsidR="007434E1" w:rsidRPr="00D82D9A" w:rsidRDefault="007434E1" w:rsidP="007434E1">
            <w:pPr>
              <w:rPr>
                <w:rFonts w:ascii="DINOT" w:hAnsi="DINOT" w:cs="DINOT"/>
                <w:sz w:val="22"/>
              </w:rPr>
            </w:pPr>
            <w:r w:rsidRPr="00D82D9A">
              <w:rPr>
                <w:rFonts w:ascii="DINOT" w:hAnsi="DINOT" w:cs="DINOT"/>
                <w:sz w:val="22"/>
              </w:rPr>
              <w:t xml:space="preserve">The Guardian </w:t>
            </w:r>
            <w:r w:rsidRPr="00D82D9A">
              <w:rPr>
                <w:rFonts w:ascii="DINOT" w:hAnsi="DINOT" w:cs="DINOT"/>
                <w:sz w:val="22"/>
                <w:u w:val="single"/>
              </w:rPr>
              <w:t>annual</w:t>
            </w:r>
            <w:r w:rsidRPr="00D82D9A">
              <w:rPr>
                <w:rFonts w:ascii="DINOT" w:hAnsi="DINOT" w:cs="DINOT"/>
                <w:sz w:val="22"/>
              </w:rPr>
              <w:t xml:space="preserve"> report to the board (provided to the LNC or equivalent) will be due in April/May.</w:t>
            </w:r>
          </w:p>
        </w:tc>
        <w:tc>
          <w:tcPr>
            <w:tcW w:w="0" w:type="auto"/>
            <w:shd w:val="clear" w:color="auto" w:fill="FFFFFF" w:themeFill="background1"/>
          </w:tcPr>
          <w:p w14:paraId="71CF2693" w14:textId="77777777" w:rsidR="007434E1" w:rsidRPr="00D82D9A" w:rsidRDefault="007434E1" w:rsidP="007434E1">
            <w:pPr>
              <w:rPr>
                <w:rFonts w:ascii="DINOT" w:hAnsi="DINOT" w:cs="DINOT"/>
                <w:sz w:val="22"/>
              </w:rPr>
            </w:pPr>
          </w:p>
        </w:tc>
      </w:tr>
    </w:tbl>
    <w:p w14:paraId="14B31650" w14:textId="63970EC8" w:rsidR="00762890" w:rsidRPr="00961CC0" w:rsidRDefault="00974AA1" w:rsidP="00D27C70">
      <w:pPr>
        <w:rPr>
          <w:rFonts w:ascii="DINOT" w:hAnsi="DINOT" w:cs="DINOT"/>
          <w:b/>
          <w:sz w:val="22"/>
        </w:rPr>
      </w:pPr>
      <w:r w:rsidRPr="00961CC0">
        <w:rPr>
          <w:rFonts w:ascii="DINOT" w:hAnsi="DINOT" w:cs="DINOT"/>
          <w:b/>
          <w:sz w:val="22"/>
        </w:rPr>
        <w:t>Note: Where possible attend the trust board in person and consider sharing the quarterly data with the divisions</w:t>
      </w:r>
      <w:r w:rsidR="00D82D9A" w:rsidRPr="00961CC0">
        <w:rPr>
          <w:rFonts w:ascii="DINOT" w:hAnsi="DINOT" w:cs="DINOT"/>
          <w:b/>
          <w:sz w:val="22"/>
        </w:rPr>
        <w:t xml:space="preserve">. </w:t>
      </w:r>
      <w:r w:rsidR="00762890" w:rsidRPr="00961CC0">
        <w:rPr>
          <w:rFonts w:ascii="DINOT" w:hAnsi="DINOT" w:cs="DINOT"/>
          <w:b/>
          <w:sz w:val="22"/>
        </w:rPr>
        <w:t xml:space="preserve">More information can be found on the </w:t>
      </w:r>
      <w:hyperlink r:id="rId9" w:history="1">
        <w:r w:rsidR="00762890" w:rsidRPr="00961CC0">
          <w:rPr>
            <w:rStyle w:val="Hyperlink"/>
            <w:rFonts w:ascii="DINOT" w:hAnsi="DINOT" w:cs="DINOT"/>
            <w:b/>
            <w:sz w:val="22"/>
          </w:rPr>
          <w:t>guardian of safe working hours web page</w:t>
        </w:r>
      </w:hyperlink>
      <w:r w:rsidR="00762890" w:rsidRPr="00961CC0">
        <w:rPr>
          <w:rFonts w:ascii="DINOT" w:hAnsi="DINOT" w:cs="DINOT"/>
          <w:b/>
          <w:sz w:val="22"/>
        </w:rPr>
        <w:t>.</w:t>
      </w:r>
    </w:p>
    <w:sectPr w:rsidR="00762890" w:rsidRPr="00961CC0" w:rsidSect="00762890">
      <w:headerReference w:type="default" r:id="rId10"/>
      <w:pgSz w:w="11906" w:h="16838"/>
      <w:pgMar w:top="1985" w:right="1021" w:bottom="709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0C386" w14:textId="77777777" w:rsidR="00F11FE2" w:rsidRDefault="00F11FE2" w:rsidP="00040901">
      <w:pPr>
        <w:spacing w:after="0" w:line="240" w:lineRule="auto"/>
      </w:pPr>
      <w:r>
        <w:separator/>
      </w:r>
    </w:p>
  </w:endnote>
  <w:endnote w:type="continuationSeparator" w:id="0">
    <w:p w14:paraId="0E4DF4E0" w14:textId="77777777" w:rsidR="00F11FE2" w:rsidRDefault="00F11FE2" w:rsidP="00040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OT">
    <w:panose1 w:val="020B0504020101020102"/>
    <w:charset w:val="00"/>
    <w:family w:val="swiss"/>
    <w:notTrueType/>
    <w:pitch w:val="variable"/>
    <w:sig w:usb0="800000AF" w:usb1="4000207B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E3BCB" w14:textId="77777777" w:rsidR="00F11FE2" w:rsidRDefault="00F11FE2" w:rsidP="00040901">
      <w:pPr>
        <w:spacing w:after="0" w:line="240" w:lineRule="auto"/>
      </w:pPr>
      <w:r>
        <w:separator/>
      </w:r>
    </w:p>
  </w:footnote>
  <w:footnote w:type="continuationSeparator" w:id="0">
    <w:p w14:paraId="400FF9BC" w14:textId="77777777" w:rsidR="00F11FE2" w:rsidRDefault="00F11FE2" w:rsidP="00040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17D5E" w14:textId="123DDE7D" w:rsidR="00040901" w:rsidRDefault="00F11FE2" w:rsidP="00D82D9A">
    <w:pPr>
      <w:pStyle w:val="Header"/>
      <w:jc w:val="right"/>
    </w:pPr>
    <w:sdt>
      <w:sdtPr>
        <w:id w:val="-1751109948"/>
        <w:docPartObj>
          <w:docPartGallery w:val="Watermarks"/>
          <w:docPartUnique/>
        </w:docPartObj>
      </w:sdtPr>
      <w:sdtEndPr/>
      <w:sdtContent>
        <w:r>
          <w:rPr>
            <w:noProof/>
            <w:lang w:val="en-US"/>
          </w:rPr>
          <w:pict w14:anchorId="43CE42D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D82D9A">
      <w:rPr>
        <w:noProof/>
      </w:rPr>
      <w:drawing>
        <wp:inline distT="0" distB="0" distL="0" distR="0" wp14:anchorId="0B7062FB" wp14:editId="0398A6A6">
          <wp:extent cx="1901825" cy="762000"/>
          <wp:effectExtent l="0" t="0" r="317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182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89714D"/>
    <w:multiLevelType w:val="hybridMultilevel"/>
    <w:tmpl w:val="08A4F078"/>
    <w:lvl w:ilvl="0" w:tplc="1AC8E6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99A"/>
    <w:rsid w:val="00040901"/>
    <w:rsid w:val="000B7F15"/>
    <w:rsid w:val="0010197A"/>
    <w:rsid w:val="00141F5B"/>
    <w:rsid w:val="00153620"/>
    <w:rsid w:val="001B5260"/>
    <w:rsid w:val="001B7D24"/>
    <w:rsid w:val="00263DD7"/>
    <w:rsid w:val="00282681"/>
    <w:rsid w:val="002A3E9F"/>
    <w:rsid w:val="002B24FC"/>
    <w:rsid w:val="0034350E"/>
    <w:rsid w:val="003567C1"/>
    <w:rsid w:val="00361179"/>
    <w:rsid w:val="00396A77"/>
    <w:rsid w:val="003A2C59"/>
    <w:rsid w:val="00494AA6"/>
    <w:rsid w:val="004E05C5"/>
    <w:rsid w:val="004E3F3E"/>
    <w:rsid w:val="00532B4C"/>
    <w:rsid w:val="00545D2F"/>
    <w:rsid w:val="005549A3"/>
    <w:rsid w:val="005605C1"/>
    <w:rsid w:val="005B4832"/>
    <w:rsid w:val="005E5937"/>
    <w:rsid w:val="006C12D2"/>
    <w:rsid w:val="007434E1"/>
    <w:rsid w:val="00744F3A"/>
    <w:rsid w:val="00747371"/>
    <w:rsid w:val="00762890"/>
    <w:rsid w:val="00770177"/>
    <w:rsid w:val="007750A3"/>
    <w:rsid w:val="007A1FB6"/>
    <w:rsid w:val="007A5EEC"/>
    <w:rsid w:val="00810988"/>
    <w:rsid w:val="00831830"/>
    <w:rsid w:val="008936EA"/>
    <w:rsid w:val="008B0BAA"/>
    <w:rsid w:val="008D4F4C"/>
    <w:rsid w:val="0091206D"/>
    <w:rsid w:val="00961CC0"/>
    <w:rsid w:val="00974AA1"/>
    <w:rsid w:val="009F3999"/>
    <w:rsid w:val="00A60997"/>
    <w:rsid w:val="00A66334"/>
    <w:rsid w:val="00A8599A"/>
    <w:rsid w:val="00AD0A96"/>
    <w:rsid w:val="00B12C3B"/>
    <w:rsid w:val="00BC4743"/>
    <w:rsid w:val="00BD2339"/>
    <w:rsid w:val="00C94DB1"/>
    <w:rsid w:val="00C96E69"/>
    <w:rsid w:val="00CA58F6"/>
    <w:rsid w:val="00CC6ECC"/>
    <w:rsid w:val="00D16201"/>
    <w:rsid w:val="00D27C70"/>
    <w:rsid w:val="00D535AC"/>
    <w:rsid w:val="00D646B5"/>
    <w:rsid w:val="00D82D9A"/>
    <w:rsid w:val="00DA1882"/>
    <w:rsid w:val="00DD01EB"/>
    <w:rsid w:val="00E26112"/>
    <w:rsid w:val="00E37FA6"/>
    <w:rsid w:val="00E556F0"/>
    <w:rsid w:val="00E70F8B"/>
    <w:rsid w:val="00EA4F40"/>
    <w:rsid w:val="00ED341B"/>
    <w:rsid w:val="00F11FE2"/>
    <w:rsid w:val="00F158FD"/>
    <w:rsid w:val="00F53CB9"/>
    <w:rsid w:val="00F7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4456D7E"/>
  <w15:chartTrackingRefBased/>
  <w15:docId w15:val="{F174693C-8E77-4401-B92E-F02F8EBAA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5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B7D2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09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901"/>
  </w:style>
  <w:style w:type="paragraph" w:styleId="Footer">
    <w:name w:val="footer"/>
    <w:basedOn w:val="Normal"/>
    <w:link w:val="FooterChar"/>
    <w:uiPriority w:val="99"/>
    <w:unhideWhenUsed/>
    <w:rsid w:val="000409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901"/>
  </w:style>
  <w:style w:type="character" w:styleId="CommentReference">
    <w:name w:val="annotation reference"/>
    <w:basedOn w:val="DefaultParagraphFont"/>
    <w:uiPriority w:val="99"/>
    <w:semiHidden/>
    <w:unhideWhenUsed/>
    <w:rsid w:val="000B7F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7F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7F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7F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7F1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F1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A4F4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605C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62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5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hsemployers.org/pay-pensions-and-reward/medical-staff/doctors-and-dentists-in-training/information-for-guardian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1CC80-F23F-4786-AC4F-2669AE76F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Confed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Lindsay</dc:creator>
  <cp:keywords/>
  <dc:description/>
  <cp:lastModifiedBy>Danielle Lindley</cp:lastModifiedBy>
  <cp:revision>2</cp:revision>
  <cp:lastPrinted>2019-01-29T10:33:00Z</cp:lastPrinted>
  <dcterms:created xsi:type="dcterms:W3CDTF">2021-05-05T15:08:00Z</dcterms:created>
  <dcterms:modified xsi:type="dcterms:W3CDTF">2021-05-05T15:08:00Z</dcterms:modified>
</cp:coreProperties>
</file>