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70811" w14:textId="77777777" w:rsidR="00D27405" w:rsidRPr="009E477E" w:rsidRDefault="00D27405" w:rsidP="009E477E">
      <w:pPr>
        <w:rPr>
          <w:b/>
          <w:color w:val="7030A0"/>
          <w:sz w:val="32"/>
          <w:szCs w:val="24"/>
        </w:rPr>
      </w:pPr>
      <w:r w:rsidRPr="009E477E">
        <w:rPr>
          <w:b/>
          <w:color w:val="7030A0"/>
          <w:sz w:val="32"/>
          <w:szCs w:val="24"/>
        </w:rPr>
        <w:t>ANNUAL REPORT ON ROTA GAPS AND VACANCIES: DOCTORS AND DENTISTS IN TRAINING (</w:t>
      </w:r>
      <w:r w:rsidR="00F07F8E" w:rsidRPr="00807995">
        <w:rPr>
          <w:b/>
          <w:color w:val="7030A0"/>
          <w:sz w:val="32"/>
          <w:szCs w:val="24"/>
        </w:rPr>
        <w:t xml:space="preserve">LEAD EMPLOYER </w:t>
      </w:r>
      <w:r w:rsidRPr="009E477E">
        <w:rPr>
          <w:b/>
          <w:color w:val="7030A0"/>
          <w:sz w:val="32"/>
          <w:szCs w:val="24"/>
        </w:rPr>
        <w:t>SAMPLE TEMPLATE)</w:t>
      </w:r>
    </w:p>
    <w:p w14:paraId="466D5D3A" w14:textId="77777777" w:rsidR="009E477E" w:rsidRDefault="009E477E" w:rsidP="00D27405">
      <w:pPr>
        <w:rPr>
          <w:b/>
        </w:rPr>
      </w:pPr>
    </w:p>
    <w:p w14:paraId="6C9E4705" w14:textId="77777777" w:rsidR="00D27405" w:rsidRDefault="00D27405" w:rsidP="00D27405">
      <w:pPr>
        <w:rPr>
          <w:b/>
        </w:rPr>
      </w:pPr>
      <w:r>
        <w:rPr>
          <w:b/>
        </w:rPr>
        <w:t>Executive summary</w:t>
      </w:r>
    </w:p>
    <w:p w14:paraId="0F177990" w14:textId="77777777" w:rsidR="00D27405" w:rsidRDefault="009E477E" w:rsidP="00D27405">
      <w:pPr>
        <w:rPr>
          <w:i/>
        </w:rPr>
      </w:pPr>
      <w:r>
        <w:rPr>
          <w:i/>
        </w:rPr>
        <w:t>A few paragraphs on</w:t>
      </w:r>
      <w:r w:rsidR="00D27405">
        <w:rPr>
          <w:i/>
        </w:rPr>
        <w:t xml:space="preserve"> the key points </w:t>
      </w:r>
      <w:r>
        <w:rPr>
          <w:i/>
        </w:rPr>
        <w:t>of the paper that you want the b</w:t>
      </w:r>
      <w:r w:rsidR="00D27405">
        <w:rPr>
          <w:i/>
        </w:rPr>
        <w:t>oard to note, including any areas of risk and any dec</w:t>
      </w:r>
      <w:r>
        <w:rPr>
          <w:i/>
        </w:rPr>
        <w:t>isions that you would like the b</w:t>
      </w:r>
      <w:r w:rsidR="00D27405">
        <w:rPr>
          <w:i/>
        </w:rPr>
        <w:t>oard to take.</w:t>
      </w:r>
    </w:p>
    <w:p w14:paraId="129F4EC6" w14:textId="77777777" w:rsidR="00D27405" w:rsidRDefault="00D27405" w:rsidP="00D27405">
      <w:pPr>
        <w:rPr>
          <w:b/>
        </w:rPr>
      </w:pPr>
      <w:r>
        <w:rPr>
          <w:b/>
        </w:rPr>
        <w:t>Introduction</w:t>
      </w:r>
    </w:p>
    <w:p w14:paraId="049DC405" w14:textId="77777777" w:rsidR="00D27405" w:rsidRPr="00807995" w:rsidRDefault="00D27405" w:rsidP="00D27405">
      <w:pPr>
        <w:rPr>
          <w:i/>
        </w:rPr>
      </w:pPr>
      <w:r w:rsidRPr="00807995">
        <w:rPr>
          <w:i/>
        </w:rPr>
        <w:t>A short preamble to the main body of the paper, setting out the purpose of the report with reference to the requirements of the</w:t>
      </w:r>
      <w:r w:rsidR="009E477E" w:rsidRPr="00807995">
        <w:rPr>
          <w:i/>
        </w:rPr>
        <w:t xml:space="preserve"> terms and conditions of service</w:t>
      </w:r>
      <w:r w:rsidRPr="00807995">
        <w:rPr>
          <w:i/>
        </w:rPr>
        <w:t xml:space="preserve"> </w:t>
      </w:r>
      <w:r w:rsidR="009E477E" w:rsidRPr="00807995">
        <w:rPr>
          <w:i/>
        </w:rPr>
        <w:t>(</w:t>
      </w:r>
      <w:r w:rsidRPr="00807995">
        <w:rPr>
          <w:i/>
        </w:rPr>
        <w:t>TCS</w:t>
      </w:r>
      <w:r w:rsidR="009E477E" w:rsidRPr="00807995">
        <w:rPr>
          <w:i/>
        </w:rPr>
        <w:t>)</w:t>
      </w:r>
      <w:r w:rsidRPr="00807995">
        <w:rPr>
          <w:i/>
        </w:rPr>
        <w:t>.</w:t>
      </w:r>
      <w:r w:rsidR="00F07F8E" w:rsidRPr="00807995">
        <w:rPr>
          <w:i/>
        </w:rPr>
        <w:t xml:space="preserve">  Note that the annual data summaries of host </w:t>
      </w:r>
      <w:r w:rsidR="004B7EFF" w:rsidRPr="00807995">
        <w:rPr>
          <w:i/>
        </w:rPr>
        <w:t>organisations</w:t>
      </w:r>
      <w:r w:rsidR="00F07F8E" w:rsidRPr="00807995">
        <w:rPr>
          <w:i/>
        </w:rPr>
        <w:t xml:space="preserve"> </w:t>
      </w:r>
      <w:r w:rsidR="004B7EFF" w:rsidRPr="00807995">
        <w:rPr>
          <w:i/>
        </w:rPr>
        <w:t xml:space="preserve">who have their own guardian </w:t>
      </w:r>
      <w:r w:rsidR="00F07F8E" w:rsidRPr="00807995">
        <w:rPr>
          <w:i/>
        </w:rPr>
        <w:t xml:space="preserve">are included as appendices and that the detailed data below relates only to doctors </w:t>
      </w:r>
      <w:r w:rsidR="004B7EFF" w:rsidRPr="00807995">
        <w:rPr>
          <w:i/>
        </w:rPr>
        <w:t xml:space="preserve">directly </w:t>
      </w:r>
      <w:r w:rsidR="00F07F8E" w:rsidRPr="00807995">
        <w:rPr>
          <w:i/>
        </w:rPr>
        <w:t>overseen by the LET guardian.</w:t>
      </w:r>
    </w:p>
    <w:p w14:paraId="3375AF3C" w14:textId="77777777" w:rsidR="00D27405" w:rsidRDefault="00D27405" w:rsidP="00D27405">
      <w:pPr>
        <w:rPr>
          <w:b/>
        </w:rPr>
      </w:pPr>
      <w:r>
        <w:rPr>
          <w:b/>
        </w:rPr>
        <w:t>High level data</w:t>
      </w:r>
    </w:p>
    <w:p w14:paraId="44D06C36" w14:textId="77777777" w:rsidR="00D27405" w:rsidRDefault="009E477E" w:rsidP="00D27405">
      <w:r>
        <w:t>Number</w:t>
      </w:r>
      <w:r w:rsidR="00D27405">
        <w:t xml:space="preserve"> of doctors / dentists in training (total):</w:t>
      </w:r>
      <w:r w:rsidR="00D27405">
        <w:tab/>
      </w:r>
      <w:r w:rsidR="00D27405">
        <w:tab/>
      </w:r>
      <w:r w:rsidR="00D27405">
        <w:tab/>
      </w:r>
      <w:r w:rsidR="00D27405">
        <w:tab/>
        <w:t>XXX</w:t>
      </w:r>
    </w:p>
    <w:p w14:paraId="0AD41E2D" w14:textId="77777777" w:rsidR="00D27405" w:rsidRDefault="009E477E" w:rsidP="00D27405">
      <w:r>
        <w:t>Number</w:t>
      </w:r>
      <w:r w:rsidR="00D27405">
        <w:t xml:space="preserve"> of doctors / dentists in training on 2016 TCS (total):</w:t>
      </w:r>
      <w:r w:rsidR="00D27405">
        <w:tab/>
      </w:r>
      <w:r w:rsidR="00D27405">
        <w:tab/>
        <w:t xml:space="preserve">XXX </w:t>
      </w:r>
    </w:p>
    <w:p w14:paraId="06964D90" w14:textId="77777777" w:rsidR="00E52056" w:rsidRDefault="002228CD">
      <w:r>
        <w:t>Annual vacancy rate among this staff group:</w:t>
      </w:r>
      <w:r>
        <w:tab/>
      </w:r>
      <w:r>
        <w:tab/>
      </w:r>
      <w:r>
        <w:tab/>
      </w:r>
      <w:r>
        <w:tab/>
        <w:t>XX%</w:t>
      </w:r>
    </w:p>
    <w:p w14:paraId="4F2A3D0B" w14:textId="77777777" w:rsidR="002228CD" w:rsidRDefault="002228CD">
      <w:pPr>
        <w:rPr>
          <w:b/>
        </w:rPr>
      </w:pPr>
      <w:r>
        <w:rPr>
          <w:b/>
        </w:rPr>
        <w:t>Annual data summary</w:t>
      </w:r>
    </w:p>
    <w:p w14:paraId="22749D86" w14:textId="77777777" w:rsidR="002228CD" w:rsidRDefault="002228CD" w:rsidP="009E477E">
      <w:pPr>
        <w:pStyle w:val="ListParagraph1"/>
        <w:ind w:left="0"/>
        <w:rPr>
          <w:i/>
        </w:rPr>
      </w:pPr>
      <w:r>
        <w:rPr>
          <w:i/>
        </w:rPr>
        <w:t>This section should list all vacancies among the medical training grades (including trust doctors) during the previous year</w:t>
      </w:r>
      <w:r w:rsidR="009E477E">
        <w:rPr>
          <w:i/>
        </w:rPr>
        <w:t>. T</w:t>
      </w:r>
      <w:r>
        <w:rPr>
          <w:i/>
        </w:rPr>
        <w:t xml:space="preserve">his is an annual aggregate of the relevant data from the previous four quarterly reports. These should be reported for each month separately, split by specialty / </w:t>
      </w:r>
      <w:proofErr w:type="spellStart"/>
      <w:r>
        <w:rPr>
          <w:i/>
        </w:rPr>
        <w:t>rota</w:t>
      </w:r>
      <w:proofErr w:type="spellEnd"/>
      <w:r>
        <w:rPr>
          <w:i/>
        </w:rPr>
        <w:t xml:space="preserve"> and grade.</w:t>
      </w:r>
    </w:p>
    <w:p w14:paraId="6ECBDEF1" w14:textId="77777777" w:rsidR="009E477E" w:rsidRDefault="009E477E" w:rsidP="009E477E">
      <w:pPr>
        <w:pStyle w:val="ListParagraph1"/>
        <w:ind w:left="0"/>
        <w:rPr>
          <w:i/>
        </w:rPr>
      </w:pPr>
    </w:p>
    <w:p w14:paraId="1E34A569" w14:textId="77777777" w:rsidR="00633A8D" w:rsidRDefault="00633A8D" w:rsidP="009E477E">
      <w:pPr>
        <w:pStyle w:val="ListParagraph1"/>
        <w:ind w:left="0"/>
        <w:rPr>
          <w:i/>
        </w:rPr>
      </w:pPr>
      <w:r>
        <w:rPr>
          <w:i/>
        </w:rPr>
        <w:t>The detailed month-by-month breakdown featured in the quarterly reports should be repeated at the end of this report as an appendix.</w:t>
      </w:r>
    </w:p>
    <w:p w14:paraId="64BA694F" w14:textId="77777777" w:rsidR="004B7EFF" w:rsidRDefault="004B7EFF" w:rsidP="002228CD">
      <w:pPr>
        <w:pStyle w:val="ListParagraph1"/>
      </w:pPr>
    </w:p>
    <w:p w14:paraId="5E66F66E" w14:textId="77777777" w:rsidR="004B7EFF" w:rsidRPr="004B7EFF" w:rsidRDefault="004B7EFF" w:rsidP="004B7EFF">
      <w:pPr>
        <w:pStyle w:val="ListParagraph1"/>
        <w:ind w:left="0"/>
        <w:rPr>
          <w:b/>
        </w:rPr>
      </w:pPr>
      <w:r w:rsidRPr="004B7EFF">
        <w:rPr>
          <w:b/>
        </w:rPr>
        <w:t xml:space="preserve">Trainees </w:t>
      </w:r>
      <w:r>
        <w:rPr>
          <w:b/>
        </w:rPr>
        <w:t>within the Trust</w:t>
      </w:r>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93"/>
        <w:gridCol w:w="992"/>
        <w:gridCol w:w="992"/>
        <w:gridCol w:w="992"/>
        <w:gridCol w:w="993"/>
        <w:gridCol w:w="1275"/>
        <w:gridCol w:w="1228"/>
      </w:tblGrid>
      <w:tr w:rsidR="002228CD" w14:paraId="55982029" w14:textId="77777777" w:rsidTr="009E477E">
        <w:tc>
          <w:tcPr>
            <w:tcW w:w="1560" w:type="dxa"/>
          </w:tcPr>
          <w:p w14:paraId="2F08C808" w14:textId="77777777" w:rsidR="002228CD" w:rsidRPr="009E477E" w:rsidRDefault="002228CD" w:rsidP="002228CD">
            <w:pPr>
              <w:pStyle w:val="ListParagraph1"/>
              <w:spacing w:after="0" w:line="240" w:lineRule="auto"/>
              <w:ind w:left="0"/>
              <w:rPr>
                <w:sz w:val="20"/>
              </w:rPr>
            </w:pPr>
            <w:r w:rsidRPr="009E477E">
              <w:rPr>
                <w:sz w:val="20"/>
              </w:rPr>
              <w:t>Specialty</w:t>
            </w:r>
          </w:p>
        </w:tc>
        <w:tc>
          <w:tcPr>
            <w:tcW w:w="850" w:type="dxa"/>
          </w:tcPr>
          <w:p w14:paraId="7EEEAE39" w14:textId="77777777" w:rsidR="002228CD" w:rsidRPr="009E477E" w:rsidRDefault="002228CD" w:rsidP="002228CD">
            <w:pPr>
              <w:pStyle w:val="ListParagraph1"/>
              <w:spacing w:after="0" w:line="240" w:lineRule="auto"/>
              <w:ind w:left="0"/>
              <w:rPr>
                <w:sz w:val="20"/>
              </w:rPr>
            </w:pPr>
            <w:r w:rsidRPr="009E477E">
              <w:rPr>
                <w:sz w:val="20"/>
              </w:rPr>
              <w:t>Grade</w:t>
            </w:r>
          </w:p>
        </w:tc>
        <w:tc>
          <w:tcPr>
            <w:tcW w:w="993" w:type="dxa"/>
          </w:tcPr>
          <w:p w14:paraId="259EC050" w14:textId="77777777" w:rsidR="002228CD" w:rsidRPr="009E477E" w:rsidRDefault="002228CD" w:rsidP="002228CD">
            <w:pPr>
              <w:pStyle w:val="ListParagraph1"/>
              <w:spacing w:after="0" w:line="240" w:lineRule="auto"/>
              <w:ind w:left="0"/>
              <w:rPr>
                <w:sz w:val="20"/>
              </w:rPr>
            </w:pPr>
            <w:r w:rsidRPr="009E477E">
              <w:rPr>
                <w:sz w:val="20"/>
              </w:rPr>
              <w:t>Quarter 1</w:t>
            </w:r>
          </w:p>
        </w:tc>
        <w:tc>
          <w:tcPr>
            <w:tcW w:w="992" w:type="dxa"/>
          </w:tcPr>
          <w:p w14:paraId="56447D6D" w14:textId="77777777" w:rsidR="002228CD" w:rsidRPr="009E477E" w:rsidRDefault="002228CD" w:rsidP="002228CD">
            <w:pPr>
              <w:pStyle w:val="ListParagraph1"/>
              <w:spacing w:after="0" w:line="240" w:lineRule="auto"/>
              <w:ind w:left="0"/>
              <w:rPr>
                <w:sz w:val="20"/>
              </w:rPr>
            </w:pPr>
            <w:r w:rsidRPr="009E477E">
              <w:rPr>
                <w:sz w:val="20"/>
              </w:rPr>
              <w:t>Quarter 2</w:t>
            </w:r>
          </w:p>
        </w:tc>
        <w:tc>
          <w:tcPr>
            <w:tcW w:w="992" w:type="dxa"/>
          </w:tcPr>
          <w:p w14:paraId="1C8C9990" w14:textId="77777777" w:rsidR="002228CD" w:rsidRPr="009E477E" w:rsidRDefault="002228CD" w:rsidP="002228CD">
            <w:pPr>
              <w:pStyle w:val="ListParagraph1"/>
              <w:spacing w:after="0" w:line="240" w:lineRule="auto"/>
              <w:ind w:left="0"/>
              <w:rPr>
                <w:sz w:val="20"/>
              </w:rPr>
            </w:pPr>
            <w:r w:rsidRPr="009E477E">
              <w:rPr>
                <w:sz w:val="20"/>
              </w:rPr>
              <w:t>Quarter 3</w:t>
            </w:r>
          </w:p>
        </w:tc>
        <w:tc>
          <w:tcPr>
            <w:tcW w:w="992" w:type="dxa"/>
          </w:tcPr>
          <w:p w14:paraId="58EBF06B" w14:textId="77777777" w:rsidR="002228CD" w:rsidRPr="009E477E" w:rsidRDefault="002228CD" w:rsidP="002228CD">
            <w:pPr>
              <w:pStyle w:val="ListParagraph1"/>
              <w:spacing w:after="0" w:line="240" w:lineRule="auto"/>
              <w:ind w:left="0"/>
              <w:rPr>
                <w:sz w:val="20"/>
              </w:rPr>
            </w:pPr>
            <w:r w:rsidRPr="009E477E">
              <w:rPr>
                <w:sz w:val="20"/>
              </w:rPr>
              <w:t>Quarter 4</w:t>
            </w:r>
          </w:p>
        </w:tc>
        <w:tc>
          <w:tcPr>
            <w:tcW w:w="993" w:type="dxa"/>
          </w:tcPr>
          <w:p w14:paraId="6E73212B" w14:textId="77777777" w:rsidR="002228CD" w:rsidRPr="009E477E" w:rsidRDefault="002228CD" w:rsidP="002228CD">
            <w:pPr>
              <w:pStyle w:val="ListParagraph1"/>
              <w:spacing w:after="0" w:line="240" w:lineRule="auto"/>
              <w:ind w:left="0"/>
              <w:rPr>
                <w:sz w:val="20"/>
              </w:rPr>
            </w:pPr>
            <w:r w:rsidRPr="009E477E">
              <w:rPr>
                <w:sz w:val="20"/>
              </w:rPr>
              <w:t>Total gaps (average WTE)</w:t>
            </w:r>
          </w:p>
        </w:tc>
        <w:tc>
          <w:tcPr>
            <w:tcW w:w="1275" w:type="dxa"/>
          </w:tcPr>
          <w:p w14:paraId="51CC68D4" w14:textId="77777777" w:rsidR="002228CD" w:rsidRPr="009E477E" w:rsidRDefault="002228CD" w:rsidP="002228CD">
            <w:pPr>
              <w:pStyle w:val="ListParagraph1"/>
              <w:spacing w:after="0" w:line="240" w:lineRule="auto"/>
              <w:ind w:left="0"/>
              <w:rPr>
                <w:sz w:val="20"/>
              </w:rPr>
            </w:pPr>
            <w:r w:rsidRPr="009E477E">
              <w:rPr>
                <w:sz w:val="20"/>
              </w:rPr>
              <w:t>Number of shifts uncovered (over the year)</w:t>
            </w:r>
          </w:p>
        </w:tc>
        <w:tc>
          <w:tcPr>
            <w:tcW w:w="1228" w:type="dxa"/>
          </w:tcPr>
          <w:p w14:paraId="29DE70BF" w14:textId="77777777" w:rsidR="002228CD" w:rsidRPr="009E477E" w:rsidRDefault="002228CD" w:rsidP="00AC3FDC">
            <w:pPr>
              <w:pStyle w:val="ListParagraph1"/>
              <w:spacing w:after="0" w:line="240" w:lineRule="auto"/>
              <w:ind w:left="0"/>
              <w:rPr>
                <w:sz w:val="20"/>
              </w:rPr>
            </w:pPr>
            <w:r w:rsidRPr="009E477E">
              <w:rPr>
                <w:sz w:val="20"/>
              </w:rPr>
              <w:t xml:space="preserve">Average </w:t>
            </w:r>
            <w:r w:rsidR="00AC3FDC" w:rsidRPr="009E477E">
              <w:rPr>
                <w:sz w:val="20"/>
              </w:rPr>
              <w:t xml:space="preserve">no. of shifts </w:t>
            </w:r>
            <w:proofErr w:type="gramStart"/>
            <w:r w:rsidR="00AC3FDC" w:rsidRPr="009E477E">
              <w:rPr>
                <w:sz w:val="20"/>
              </w:rPr>
              <w:t xml:space="preserve">uncovered </w:t>
            </w:r>
            <w:r w:rsidRPr="009E477E">
              <w:rPr>
                <w:sz w:val="20"/>
              </w:rPr>
              <w:t xml:space="preserve"> (</w:t>
            </w:r>
            <w:proofErr w:type="gramEnd"/>
            <w:r w:rsidRPr="009E477E">
              <w:rPr>
                <w:sz w:val="20"/>
              </w:rPr>
              <w:t>per week)</w:t>
            </w:r>
          </w:p>
        </w:tc>
      </w:tr>
      <w:tr w:rsidR="002228CD" w14:paraId="50592FF5" w14:textId="77777777" w:rsidTr="009E477E">
        <w:tc>
          <w:tcPr>
            <w:tcW w:w="1560" w:type="dxa"/>
          </w:tcPr>
          <w:p w14:paraId="48169764" w14:textId="77777777" w:rsidR="002228CD" w:rsidRDefault="002228CD" w:rsidP="002228CD">
            <w:pPr>
              <w:pStyle w:val="ListParagraph1"/>
              <w:spacing w:after="0" w:line="240" w:lineRule="auto"/>
              <w:ind w:left="0"/>
            </w:pPr>
            <w:r>
              <w:t>A&amp;E</w:t>
            </w:r>
          </w:p>
        </w:tc>
        <w:tc>
          <w:tcPr>
            <w:tcW w:w="850" w:type="dxa"/>
          </w:tcPr>
          <w:p w14:paraId="25BAB0A5" w14:textId="77777777" w:rsidR="002228CD" w:rsidRDefault="002228CD" w:rsidP="002228CD">
            <w:pPr>
              <w:pStyle w:val="ListParagraph1"/>
              <w:spacing w:after="0" w:line="240" w:lineRule="auto"/>
              <w:ind w:left="0"/>
            </w:pPr>
            <w:r>
              <w:t>CT2</w:t>
            </w:r>
          </w:p>
        </w:tc>
        <w:tc>
          <w:tcPr>
            <w:tcW w:w="993" w:type="dxa"/>
          </w:tcPr>
          <w:p w14:paraId="06177134" w14:textId="77777777" w:rsidR="002228CD" w:rsidRDefault="002228CD" w:rsidP="002228CD">
            <w:pPr>
              <w:pStyle w:val="ListParagraph1"/>
              <w:spacing w:after="0" w:line="240" w:lineRule="auto"/>
              <w:ind w:left="0"/>
            </w:pPr>
            <w:r>
              <w:t>1</w:t>
            </w:r>
          </w:p>
        </w:tc>
        <w:tc>
          <w:tcPr>
            <w:tcW w:w="992" w:type="dxa"/>
          </w:tcPr>
          <w:p w14:paraId="4C5E8167" w14:textId="77777777" w:rsidR="002228CD" w:rsidRDefault="002228CD" w:rsidP="002228CD">
            <w:pPr>
              <w:pStyle w:val="ListParagraph1"/>
              <w:spacing w:after="0" w:line="240" w:lineRule="auto"/>
              <w:ind w:left="0"/>
            </w:pPr>
            <w:r>
              <w:t>1</w:t>
            </w:r>
          </w:p>
        </w:tc>
        <w:tc>
          <w:tcPr>
            <w:tcW w:w="992" w:type="dxa"/>
          </w:tcPr>
          <w:p w14:paraId="60971805" w14:textId="77777777" w:rsidR="002228CD" w:rsidRDefault="002228CD" w:rsidP="002228CD">
            <w:pPr>
              <w:pStyle w:val="ListParagraph1"/>
              <w:spacing w:after="0" w:line="240" w:lineRule="auto"/>
              <w:ind w:left="0"/>
            </w:pPr>
            <w:r>
              <w:t>1</w:t>
            </w:r>
          </w:p>
        </w:tc>
        <w:tc>
          <w:tcPr>
            <w:tcW w:w="992" w:type="dxa"/>
          </w:tcPr>
          <w:p w14:paraId="1F815C39" w14:textId="77777777" w:rsidR="002228CD" w:rsidRDefault="002228CD" w:rsidP="002228CD">
            <w:pPr>
              <w:pStyle w:val="ListParagraph1"/>
              <w:spacing w:after="0" w:line="240" w:lineRule="auto"/>
              <w:ind w:left="0"/>
            </w:pPr>
            <w:r>
              <w:t>2</w:t>
            </w:r>
          </w:p>
        </w:tc>
        <w:tc>
          <w:tcPr>
            <w:tcW w:w="993" w:type="dxa"/>
          </w:tcPr>
          <w:p w14:paraId="40BBB978" w14:textId="77777777" w:rsidR="002228CD" w:rsidRDefault="002228CD" w:rsidP="002228CD">
            <w:pPr>
              <w:pStyle w:val="ListParagraph1"/>
              <w:spacing w:after="0" w:line="240" w:lineRule="auto"/>
              <w:ind w:left="0"/>
            </w:pPr>
            <w:r>
              <w:t>1.25</w:t>
            </w:r>
          </w:p>
        </w:tc>
        <w:tc>
          <w:tcPr>
            <w:tcW w:w="1275" w:type="dxa"/>
          </w:tcPr>
          <w:p w14:paraId="7CC7045C" w14:textId="77777777" w:rsidR="002228CD" w:rsidRDefault="002228CD" w:rsidP="002228CD">
            <w:pPr>
              <w:pStyle w:val="ListParagraph1"/>
              <w:spacing w:after="0" w:line="240" w:lineRule="auto"/>
              <w:ind w:left="0"/>
            </w:pPr>
            <w:r>
              <w:t>330</w:t>
            </w:r>
          </w:p>
        </w:tc>
        <w:tc>
          <w:tcPr>
            <w:tcW w:w="1228" w:type="dxa"/>
          </w:tcPr>
          <w:p w14:paraId="79FF4078" w14:textId="77777777" w:rsidR="002228CD" w:rsidRDefault="00AC3FDC" w:rsidP="002228CD">
            <w:pPr>
              <w:pStyle w:val="ListParagraph1"/>
              <w:spacing w:after="0" w:line="240" w:lineRule="auto"/>
              <w:ind w:left="0"/>
            </w:pPr>
            <w:r>
              <w:t>6.6</w:t>
            </w:r>
          </w:p>
        </w:tc>
      </w:tr>
      <w:tr w:rsidR="002228CD" w14:paraId="3A90BCE8" w14:textId="77777777" w:rsidTr="009E477E">
        <w:tc>
          <w:tcPr>
            <w:tcW w:w="1560" w:type="dxa"/>
          </w:tcPr>
          <w:p w14:paraId="0891A74B" w14:textId="77777777" w:rsidR="002228CD" w:rsidRDefault="002228CD" w:rsidP="002228CD">
            <w:pPr>
              <w:pStyle w:val="ListParagraph1"/>
              <w:spacing w:after="0" w:line="240" w:lineRule="auto"/>
              <w:ind w:left="0"/>
            </w:pPr>
            <w:r>
              <w:t>Clinical biochemistry</w:t>
            </w:r>
          </w:p>
        </w:tc>
        <w:tc>
          <w:tcPr>
            <w:tcW w:w="850" w:type="dxa"/>
          </w:tcPr>
          <w:p w14:paraId="56CBA131" w14:textId="77777777" w:rsidR="002228CD" w:rsidRDefault="002228CD" w:rsidP="002228CD">
            <w:pPr>
              <w:pStyle w:val="ListParagraph1"/>
              <w:spacing w:after="0" w:line="240" w:lineRule="auto"/>
              <w:ind w:left="0"/>
            </w:pPr>
            <w:r>
              <w:t>ST6</w:t>
            </w:r>
          </w:p>
        </w:tc>
        <w:tc>
          <w:tcPr>
            <w:tcW w:w="993" w:type="dxa"/>
          </w:tcPr>
          <w:p w14:paraId="5CF3B070" w14:textId="77777777" w:rsidR="002228CD" w:rsidRDefault="002228CD" w:rsidP="002228CD">
            <w:pPr>
              <w:pStyle w:val="ListParagraph1"/>
              <w:spacing w:after="0" w:line="240" w:lineRule="auto"/>
              <w:ind w:left="0"/>
            </w:pPr>
            <w:r>
              <w:t>1</w:t>
            </w:r>
          </w:p>
        </w:tc>
        <w:tc>
          <w:tcPr>
            <w:tcW w:w="992" w:type="dxa"/>
          </w:tcPr>
          <w:p w14:paraId="0BC49826" w14:textId="77777777" w:rsidR="002228CD" w:rsidRDefault="002228CD" w:rsidP="002228CD">
            <w:pPr>
              <w:pStyle w:val="ListParagraph1"/>
              <w:spacing w:after="0" w:line="240" w:lineRule="auto"/>
              <w:ind w:left="0"/>
            </w:pPr>
            <w:r>
              <w:t>1</w:t>
            </w:r>
          </w:p>
        </w:tc>
        <w:tc>
          <w:tcPr>
            <w:tcW w:w="992" w:type="dxa"/>
          </w:tcPr>
          <w:p w14:paraId="100DAD05" w14:textId="77777777" w:rsidR="002228CD" w:rsidRDefault="002228CD" w:rsidP="002228CD">
            <w:pPr>
              <w:pStyle w:val="ListParagraph1"/>
              <w:spacing w:after="0" w:line="240" w:lineRule="auto"/>
              <w:ind w:left="0"/>
            </w:pPr>
            <w:r>
              <w:t>1</w:t>
            </w:r>
          </w:p>
        </w:tc>
        <w:tc>
          <w:tcPr>
            <w:tcW w:w="992" w:type="dxa"/>
          </w:tcPr>
          <w:p w14:paraId="77B349AB" w14:textId="77777777" w:rsidR="002228CD" w:rsidRDefault="002228CD" w:rsidP="002228CD">
            <w:pPr>
              <w:pStyle w:val="ListParagraph1"/>
              <w:spacing w:after="0" w:line="240" w:lineRule="auto"/>
              <w:ind w:left="0"/>
            </w:pPr>
            <w:r>
              <w:t>1</w:t>
            </w:r>
          </w:p>
        </w:tc>
        <w:tc>
          <w:tcPr>
            <w:tcW w:w="993" w:type="dxa"/>
          </w:tcPr>
          <w:p w14:paraId="341E0F72" w14:textId="77777777" w:rsidR="002228CD" w:rsidRDefault="002228CD" w:rsidP="002228CD">
            <w:pPr>
              <w:pStyle w:val="ListParagraph1"/>
              <w:spacing w:after="0" w:line="240" w:lineRule="auto"/>
              <w:ind w:left="0"/>
            </w:pPr>
            <w:r>
              <w:t>1</w:t>
            </w:r>
          </w:p>
        </w:tc>
        <w:tc>
          <w:tcPr>
            <w:tcW w:w="1275" w:type="dxa"/>
          </w:tcPr>
          <w:p w14:paraId="004358AB" w14:textId="77777777" w:rsidR="002228CD" w:rsidRDefault="002228CD" w:rsidP="002228CD">
            <w:pPr>
              <w:pStyle w:val="ListParagraph1"/>
              <w:spacing w:after="0" w:line="240" w:lineRule="auto"/>
              <w:ind w:left="0"/>
            </w:pPr>
            <w:r>
              <w:t>240</w:t>
            </w:r>
          </w:p>
        </w:tc>
        <w:tc>
          <w:tcPr>
            <w:tcW w:w="1228" w:type="dxa"/>
          </w:tcPr>
          <w:p w14:paraId="32AD39D7" w14:textId="77777777" w:rsidR="002228CD" w:rsidRDefault="00AC3FDC" w:rsidP="002228CD">
            <w:pPr>
              <w:pStyle w:val="ListParagraph1"/>
              <w:spacing w:after="0" w:line="240" w:lineRule="auto"/>
              <w:ind w:left="0"/>
            </w:pPr>
            <w:r>
              <w:t>4.6</w:t>
            </w:r>
          </w:p>
        </w:tc>
      </w:tr>
      <w:tr w:rsidR="002228CD" w14:paraId="4C855E8D" w14:textId="77777777" w:rsidTr="009E477E">
        <w:tc>
          <w:tcPr>
            <w:tcW w:w="1560" w:type="dxa"/>
          </w:tcPr>
          <w:p w14:paraId="5DABE34D" w14:textId="77777777" w:rsidR="002228CD" w:rsidRDefault="002228CD" w:rsidP="002228CD">
            <w:pPr>
              <w:pStyle w:val="ListParagraph1"/>
              <w:spacing w:after="0" w:line="240" w:lineRule="auto"/>
              <w:ind w:left="0"/>
            </w:pPr>
            <w:r>
              <w:t>Plastic surgery</w:t>
            </w:r>
          </w:p>
        </w:tc>
        <w:tc>
          <w:tcPr>
            <w:tcW w:w="850" w:type="dxa"/>
          </w:tcPr>
          <w:p w14:paraId="263BE4B4" w14:textId="77777777" w:rsidR="002228CD" w:rsidRDefault="002228CD" w:rsidP="002228CD">
            <w:pPr>
              <w:pStyle w:val="ListParagraph1"/>
              <w:spacing w:after="0" w:line="240" w:lineRule="auto"/>
              <w:ind w:left="0"/>
            </w:pPr>
            <w:r>
              <w:t>ST5</w:t>
            </w:r>
          </w:p>
        </w:tc>
        <w:tc>
          <w:tcPr>
            <w:tcW w:w="993" w:type="dxa"/>
          </w:tcPr>
          <w:p w14:paraId="62C19E29" w14:textId="77777777" w:rsidR="002228CD" w:rsidRDefault="002228CD" w:rsidP="002228CD">
            <w:pPr>
              <w:pStyle w:val="ListParagraph1"/>
              <w:spacing w:after="0" w:line="240" w:lineRule="auto"/>
              <w:ind w:left="0"/>
            </w:pPr>
            <w:r>
              <w:t>0.33</w:t>
            </w:r>
          </w:p>
        </w:tc>
        <w:tc>
          <w:tcPr>
            <w:tcW w:w="992" w:type="dxa"/>
          </w:tcPr>
          <w:p w14:paraId="38DD83C1" w14:textId="77777777" w:rsidR="002228CD" w:rsidRDefault="002228CD" w:rsidP="002228CD">
            <w:pPr>
              <w:pStyle w:val="ListParagraph1"/>
              <w:spacing w:after="0" w:line="240" w:lineRule="auto"/>
              <w:ind w:left="0"/>
            </w:pPr>
            <w:r>
              <w:t>0</w:t>
            </w:r>
          </w:p>
        </w:tc>
        <w:tc>
          <w:tcPr>
            <w:tcW w:w="992" w:type="dxa"/>
          </w:tcPr>
          <w:p w14:paraId="25145C6E" w14:textId="77777777" w:rsidR="002228CD" w:rsidRDefault="002228CD" w:rsidP="002228CD">
            <w:pPr>
              <w:pStyle w:val="ListParagraph1"/>
              <w:spacing w:after="0" w:line="240" w:lineRule="auto"/>
              <w:ind w:left="0"/>
            </w:pPr>
            <w:r>
              <w:t>0</w:t>
            </w:r>
          </w:p>
        </w:tc>
        <w:tc>
          <w:tcPr>
            <w:tcW w:w="992" w:type="dxa"/>
          </w:tcPr>
          <w:p w14:paraId="192AAF38" w14:textId="77777777" w:rsidR="002228CD" w:rsidRDefault="002228CD" w:rsidP="002228CD">
            <w:pPr>
              <w:pStyle w:val="ListParagraph1"/>
              <w:spacing w:after="0" w:line="240" w:lineRule="auto"/>
              <w:ind w:left="0"/>
            </w:pPr>
            <w:r>
              <w:t>0</w:t>
            </w:r>
          </w:p>
        </w:tc>
        <w:tc>
          <w:tcPr>
            <w:tcW w:w="993" w:type="dxa"/>
          </w:tcPr>
          <w:p w14:paraId="1590C738" w14:textId="77777777" w:rsidR="002228CD" w:rsidRDefault="002228CD" w:rsidP="002228CD">
            <w:pPr>
              <w:pStyle w:val="ListParagraph1"/>
              <w:spacing w:after="0" w:line="240" w:lineRule="auto"/>
              <w:ind w:left="0"/>
            </w:pPr>
            <w:r>
              <w:t>0.08</w:t>
            </w:r>
          </w:p>
        </w:tc>
        <w:tc>
          <w:tcPr>
            <w:tcW w:w="1275" w:type="dxa"/>
          </w:tcPr>
          <w:p w14:paraId="6E377AF2" w14:textId="77777777" w:rsidR="002228CD" w:rsidRDefault="002228CD" w:rsidP="002228CD">
            <w:pPr>
              <w:pStyle w:val="ListParagraph1"/>
              <w:spacing w:after="0" w:line="240" w:lineRule="auto"/>
              <w:ind w:left="0"/>
            </w:pPr>
            <w:r>
              <w:t>17</w:t>
            </w:r>
          </w:p>
        </w:tc>
        <w:tc>
          <w:tcPr>
            <w:tcW w:w="1228" w:type="dxa"/>
          </w:tcPr>
          <w:p w14:paraId="61747A51" w14:textId="77777777" w:rsidR="002228CD" w:rsidRDefault="00AC3FDC" w:rsidP="002228CD">
            <w:pPr>
              <w:pStyle w:val="ListParagraph1"/>
              <w:spacing w:after="0" w:line="240" w:lineRule="auto"/>
              <w:ind w:left="0"/>
            </w:pPr>
            <w:r>
              <w:t>0.3</w:t>
            </w:r>
          </w:p>
        </w:tc>
      </w:tr>
      <w:tr w:rsidR="002228CD" w14:paraId="436745EC" w14:textId="77777777" w:rsidTr="009E477E">
        <w:tc>
          <w:tcPr>
            <w:tcW w:w="1560" w:type="dxa"/>
          </w:tcPr>
          <w:p w14:paraId="33891AFE" w14:textId="77777777" w:rsidR="002228CD" w:rsidRDefault="002228CD" w:rsidP="002228CD">
            <w:pPr>
              <w:pStyle w:val="ListParagraph1"/>
              <w:spacing w:after="0" w:line="240" w:lineRule="auto"/>
              <w:ind w:left="0"/>
            </w:pPr>
            <w:proofErr w:type="spellStart"/>
            <w:r>
              <w:t>Orthopaedics</w:t>
            </w:r>
            <w:proofErr w:type="spellEnd"/>
          </w:p>
        </w:tc>
        <w:tc>
          <w:tcPr>
            <w:tcW w:w="850" w:type="dxa"/>
          </w:tcPr>
          <w:p w14:paraId="2DDD5EF6" w14:textId="77777777" w:rsidR="002228CD" w:rsidRDefault="002228CD" w:rsidP="002228CD">
            <w:pPr>
              <w:pStyle w:val="ListParagraph1"/>
              <w:spacing w:after="0" w:line="240" w:lineRule="auto"/>
              <w:ind w:left="0"/>
            </w:pPr>
            <w:r>
              <w:t>ST6</w:t>
            </w:r>
          </w:p>
        </w:tc>
        <w:tc>
          <w:tcPr>
            <w:tcW w:w="993" w:type="dxa"/>
          </w:tcPr>
          <w:p w14:paraId="2090D14B" w14:textId="77777777" w:rsidR="002228CD" w:rsidRDefault="002228CD" w:rsidP="002228CD">
            <w:pPr>
              <w:pStyle w:val="ListParagraph1"/>
              <w:spacing w:after="0" w:line="240" w:lineRule="auto"/>
              <w:ind w:left="0"/>
            </w:pPr>
            <w:r>
              <w:t>0</w:t>
            </w:r>
          </w:p>
        </w:tc>
        <w:tc>
          <w:tcPr>
            <w:tcW w:w="992" w:type="dxa"/>
          </w:tcPr>
          <w:p w14:paraId="6EBA007C" w14:textId="77777777" w:rsidR="002228CD" w:rsidRDefault="002228CD" w:rsidP="002228CD">
            <w:pPr>
              <w:pStyle w:val="ListParagraph1"/>
              <w:spacing w:after="0" w:line="240" w:lineRule="auto"/>
              <w:ind w:left="0"/>
            </w:pPr>
            <w:r>
              <w:t>1</w:t>
            </w:r>
          </w:p>
        </w:tc>
        <w:tc>
          <w:tcPr>
            <w:tcW w:w="992" w:type="dxa"/>
          </w:tcPr>
          <w:p w14:paraId="70B197DE" w14:textId="77777777" w:rsidR="002228CD" w:rsidRDefault="002228CD" w:rsidP="002228CD">
            <w:pPr>
              <w:pStyle w:val="ListParagraph1"/>
              <w:spacing w:after="0" w:line="240" w:lineRule="auto"/>
              <w:ind w:left="0"/>
            </w:pPr>
            <w:r>
              <w:t>0.5</w:t>
            </w:r>
          </w:p>
        </w:tc>
        <w:tc>
          <w:tcPr>
            <w:tcW w:w="992" w:type="dxa"/>
          </w:tcPr>
          <w:p w14:paraId="681C258B" w14:textId="77777777" w:rsidR="002228CD" w:rsidRDefault="002228CD" w:rsidP="002228CD">
            <w:pPr>
              <w:pStyle w:val="ListParagraph1"/>
              <w:spacing w:after="0" w:line="240" w:lineRule="auto"/>
              <w:ind w:left="0"/>
            </w:pPr>
            <w:r>
              <w:t>0</w:t>
            </w:r>
          </w:p>
        </w:tc>
        <w:tc>
          <w:tcPr>
            <w:tcW w:w="993" w:type="dxa"/>
          </w:tcPr>
          <w:p w14:paraId="1AD9361E" w14:textId="77777777" w:rsidR="002228CD" w:rsidRDefault="002228CD" w:rsidP="002228CD">
            <w:pPr>
              <w:pStyle w:val="ListParagraph1"/>
              <w:spacing w:after="0" w:line="240" w:lineRule="auto"/>
              <w:ind w:left="0"/>
            </w:pPr>
            <w:r>
              <w:t>0.375</w:t>
            </w:r>
          </w:p>
        </w:tc>
        <w:tc>
          <w:tcPr>
            <w:tcW w:w="1275" w:type="dxa"/>
          </w:tcPr>
          <w:p w14:paraId="19FDD09A" w14:textId="77777777" w:rsidR="002228CD" w:rsidRDefault="002228CD" w:rsidP="002228CD">
            <w:pPr>
              <w:pStyle w:val="ListParagraph1"/>
              <w:spacing w:after="0" w:line="240" w:lineRule="auto"/>
              <w:ind w:left="0"/>
            </w:pPr>
            <w:r>
              <w:t>75</w:t>
            </w:r>
          </w:p>
        </w:tc>
        <w:tc>
          <w:tcPr>
            <w:tcW w:w="1228" w:type="dxa"/>
          </w:tcPr>
          <w:p w14:paraId="39386429" w14:textId="77777777" w:rsidR="002228CD" w:rsidRDefault="00AC3FDC" w:rsidP="002228CD">
            <w:pPr>
              <w:pStyle w:val="ListParagraph1"/>
              <w:spacing w:after="0" w:line="240" w:lineRule="auto"/>
              <w:ind w:left="0"/>
            </w:pPr>
            <w:r>
              <w:t>1.4</w:t>
            </w:r>
          </w:p>
        </w:tc>
      </w:tr>
      <w:tr w:rsidR="002228CD" w14:paraId="7FFF93BD" w14:textId="77777777" w:rsidTr="009E477E">
        <w:tc>
          <w:tcPr>
            <w:tcW w:w="1560" w:type="dxa"/>
          </w:tcPr>
          <w:p w14:paraId="6BF23E15" w14:textId="77777777" w:rsidR="002228CD" w:rsidRDefault="002228CD" w:rsidP="002228CD">
            <w:pPr>
              <w:pStyle w:val="ListParagraph1"/>
              <w:spacing w:after="0" w:line="240" w:lineRule="auto"/>
              <w:ind w:left="0"/>
            </w:pPr>
            <w:proofErr w:type="spellStart"/>
            <w:r>
              <w:t>Paediatrics</w:t>
            </w:r>
            <w:proofErr w:type="spellEnd"/>
          </w:p>
        </w:tc>
        <w:tc>
          <w:tcPr>
            <w:tcW w:w="850" w:type="dxa"/>
          </w:tcPr>
          <w:p w14:paraId="4744932E" w14:textId="77777777" w:rsidR="002228CD" w:rsidRDefault="002228CD" w:rsidP="002228CD">
            <w:pPr>
              <w:pStyle w:val="ListParagraph1"/>
              <w:spacing w:after="0" w:line="240" w:lineRule="auto"/>
              <w:ind w:left="0"/>
            </w:pPr>
            <w:r>
              <w:t>CT3</w:t>
            </w:r>
          </w:p>
        </w:tc>
        <w:tc>
          <w:tcPr>
            <w:tcW w:w="993" w:type="dxa"/>
          </w:tcPr>
          <w:p w14:paraId="2CCF26C0" w14:textId="77777777" w:rsidR="002228CD" w:rsidRDefault="002228CD" w:rsidP="002228CD">
            <w:pPr>
              <w:pStyle w:val="ListParagraph1"/>
              <w:spacing w:after="0" w:line="240" w:lineRule="auto"/>
              <w:ind w:left="0"/>
            </w:pPr>
            <w:r>
              <w:t>0</w:t>
            </w:r>
          </w:p>
        </w:tc>
        <w:tc>
          <w:tcPr>
            <w:tcW w:w="992" w:type="dxa"/>
          </w:tcPr>
          <w:p w14:paraId="220E61D4" w14:textId="77777777" w:rsidR="002228CD" w:rsidRDefault="002228CD" w:rsidP="002228CD">
            <w:pPr>
              <w:pStyle w:val="ListParagraph1"/>
              <w:spacing w:after="0" w:line="240" w:lineRule="auto"/>
              <w:ind w:left="0"/>
            </w:pPr>
            <w:r>
              <w:t>0</w:t>
            </w:r>
          </w:p>
        </w:tc>
        <w:tc>
          <w:tcPr>
            <w:tcW w:w="992" w:type="dxa"/>
          </w:tcPr>
          <w:p w14:paraId="1CCBBFD5" w14:textId="77777777" w:rsidR="002228CD" w:rsidRDefault="002228CD" w:rsidP="002228CD">
            <w:pPr>
              <w:pStyle w:val="ListParagraph1"/>
              <w:spacing w:after="0" w:line="240" w:lineRule="auto"/>
              <w:ind w:left="0"/>
            </w:pPr>
            <w:r>
              <w:t>0</w:t>
            </w:r>
          </w:p>
        </w:tc>
        <w:tc>
          <w:tcPr>
            <w:tcW w:w="992" w:type="dxa"/>
          </w:tcPr>
          <w:p w14:paraId="4F8B2299" w14:textId="77777777" w:rsidR="002228CD" w:rsidRDefault="002228CD" w:rsidP="002228CD">
            <w:pPr>
              <w:pStyle w:val="ListParagraph1"/>
              <w:spacing w:after="0" w:line="240" w:lineRule="auto"/>
              <w:ind w:left="0"/>
            </w:pPr>
            <w:r>
              <w:t>2</w:t>
            </w:r>
          </w:p>
        </w:tc>
        <w:tc>
          <w:tcPr>
            <w:tcW w:w="993" w:type="dxa"/>
          </w:tcPr>
          <w:p w14:paraId="27BB27B8" w14:textId="77777777" w:rsidR="002228CD" w:rsidRDefault="002228CD" w:rsidP="002228CD">
            <w:pPr>
              <w:pStyle w:val="ListParagraph1"/>
              <w:spacing w:after="0" w:line="240" w:lineRule="auto"/>
              <w:ind w:left="0"/>
            </w:pPr>
            <w:r>
              <w:t>0.5</w:t>
            </w:r>
          </w:p>
        </w:tc>
        <w:tc>
          <w:tcPr>
            <w:tcW w:w="1275" w:type="dxa"/>
          </w:tcPr>
          <w:p w14:paraId="51EF730B" w14:textId="77777777" w:rsidR="002228CD" w:rsidRDefault="002228CD" w:rsidP="002228CD">
            <w:pPr>
              <w:pStyle w:val="ListParagraph1"/>
              <w:spacing w:after="0" w:line="240" w:lineRule="auto"/>
              <w:ind w:left="0"/>
            </w:pPr>
            <w:r>
              <w:t>117</w:t>
            </w:r>
          </w:p>
        </w:tc>
        <w:tc>
          <w:tcPr>
            <w:tcW w:w="1228" w:type="dxa"/>
          </w:tcPr>
          <w:p w14:paraId="6A1D457C" w14:textId="77777777" w:rsidR="002228CD" w:rsidRDefault="00AC3FDC" w:rsidP="002228CD">
            <w:pPr>
              <w:pStyle w:val="ListParagraph1"/>
              <w:spacing w:after="0" w:line="240" w:lineRule="auto"/>
              <w:ind w:left="0"/>
            </w:pPr>
            <w:r>
              <w:t>2.3</w:t>
            </w:r>
          </w:p>
        </w:tc>
      </w:tr>
      <w:tr w:rsidR="002228CD" w14:paraId="04FB775A" w14:textId="77777777" w:rsidTr="009E477E">
        <w:tc>
          <w:tcPr>
            <w:tcW w:w="1560" w:type="dxa"/>
          </w:tcPr>
          <w:p w14:paraId="0AD3B6DE" w14:textId="77777777" w:rsidR="002228CD" w:rsidRDefault="002228CD" w:rsidP="002228CD">
            <w:pPr>
              <w:pStyle w:val="ListParagraph1"/>
              <w:spacing w:after="0" w:line="240" w:lineRule="auto"/>
              <w:ind w:left="0"/>
            </w:pPr>
            <w:r>
              <w:t>Acute Medicine</w:t>
            </w:r>
          </w:p>
        </w:tc>
        <w:tc>
          <w:tcPr>
            <w:tcW w:w="850" w:type="dxa"/>
          </w:tcPr>
          <w:p w14:paraId="771B2A34" w14:textId="77777777" w:rsidR="002228CD" w:rsidRDefault="002228CD" w:rsidP="002228CD">
            <w:pPr>
              <w:pStyle w:val="ListParagraph1"/>
              <w:spacing w:after="0" w:line="240" w:lineRule="auto"/>
              <w:ind w:left="0"/>
            </w:pPr>
            <w:r>
              <w:t>CT2</w:t>
            </w:r>
          </w:p>
        </w:tc>
        <w:tc>
          <w:tcPr>
            <w:tcW w:w="993" w:type="dxa"/>
          </w:tcPr>
          <w:p w14:paraId="682EF8A3" w14:textId="77777777" w:rsidR="002228CD" w:rsidRDefault="002228CD" w:rsidP="002228CD">
            <w:pPr>
              <w:pStyle w:val="ListParagraph1"/>
              <w:spacing w:after="0" w:line="240" w:lineRule="auto"/>
              <w:ind w:left="0"/>
            </w:pPr>
            <w:r>
              <w:t>0</w:t>
            </w:r>
          </w:p>
        </w:tc>
        <w:tc>
          <w:tcPr>
            <w:tcW w:w="992" w:type="dxa"/>
          </w:tcPr>
          <w:p w14:paraId="6D0566D8" w14:textId="77777777" w:rsidR="002228CD" w:rsidRDefault="002228CD" w:rsidP="002228CD">
            <w:pPr>
              <w:pStyle w:val="ListParagraph1"/>
              <w:spacing w:after="0" w:line="240" w:lineRule="auto"/>
              <w:ind w:left="0"/>
            </w:pPr>
            <w:r>
              <w:t>0</w:t>
            </w:r>
          </w:p>
        </w:tc>
        <w:tc>
          <w:tcPr>
            <w:tcW w:w="992" w:type="dxa"/>
          </w:tcPr>
          <w:p w14:paraId="03476050" w14:textId="77777777" w:rsidR="002228CD" w:rsidRDefault="002228CD" w:rsidP="002228CD">
            <w:pPr>
              <w:pStyle w:val="ListParagraph1"/>
              <w:spacing w:after="0" w:line="240" w:lineRule="auto"/>
              <w:ind w:left="0"/>
            </w:pPr>
            <w:r>
              <w:t>0</w:t>
            </w:r>
          </w:p>
        </w:tc>
        <w:tc>
          <w:tcPr>
            <w:tcW w:w="992" w:type="dxa"/>
          </w:tcPr>
          <w:p w14:paraId="644689A5" w14:textId="77777777" w:rsidR="002228CD" w:rsidRDefault="002228CD" w:rsidP="002228CD">
            <w:pPr>
              <w:pStyle w:val="ListParagraph1"/>
              <w:spacing w:after="0" w:line="240" w:lineRule="auto"/>
              <w:ind w:left="0"/>
            </w:pPr>
            <w:r>
              <w:t>1</w:t>
            </w:r>
          </w:p>
        </w:tc>
        <w:tc>
          <w:tcPr>
            <w:tcW w:w="993" w:type="dxa"/>
          </w:tcPr>
          <w:p w14:paraId="011B5BB6" w14:textId="77777777" w:rsidR="002228CD" w:rsidRDefault="002228CD" w:rsidP="002228CD">
            <w:pPr>
              <w:pStyle w:val="ListParagraph1"/>
              <w:spacing w:after="0" w:line="240" w:lineRule="auto"/>
              <w:ind w:left="0"/>
            </w:pPr>
            <w:r>
              <w:t>0.25</w:t>
            </w:r>
          </w:p>
        </w:tc>
        <w:tc>
          <w:tcPr>
            <w:tcW w:w="1275" w:type="dxa"/>
          </w:tcPr>
          <w:p w14:paraId="1199F44A" w14:textId="77777777" w:rsidR="002228CD" w:rsidRDefault="002228CD" w:rsidP="002228CD">
            <w:pPr>
              <w:pStyle w:val="ListParagraph1"/>
              <w:spacing w:after="0" w:line="240" w:lineRule="auto"/>
              <w:ind w:left="0"/>
            </w:pPr>
            <w:r>
              <w:t>57</w:t>
            </w:r>
          </w:p>
        </w:tc>
        <w:tc>
          <w:tcPr>
            <w:tcW w:w="1228" w:type="dxa"/>
          </w:tcPr>
          <w:p w14:paraId="5A3D83F0" w14:textId="77777777" w:rsidR="002228CD" w:rsidRDefault="00AC3FDC" w:rsidP="002228CD">
            <w:pPr>
              <w:pStyle w:val="ListParagraph1"/>
              <w:spacing w:after="0" w:line="240" w:lineRule="auto"/>
              <w:ind w:left="0"/>
            </w:pPr>
            <w:r>
              <w:t>1.1</w:t>
            </w:r>
          </w:p>
        </w:tc>
      </w:tr>
      <w:tr w:rsidR="002228CD" w14:paraId="4F412E19" w14:textId="77777777" w:rsidTr="009E477E">
        <w:tc>
          <w:tcPr>
            <w:tcW w:w="1560" w:type="dxa"/>
          </w:tcPr>
          <w:p w14:paraId="3E1E7BBB" w14:textId="77777777" w:rsidR="002228CD" w:rsidRDefault="002228CD" w:rsidP="002228CD">
            <w:pPr>
              <w:pStyle w:val="ListParagraph1"/>
              <w:spacing w:after="0" w:line="240" w:lineRule="auto"/>
              <w:ind w:left="0"/>
            </w:pPr>
            <w:r>
              <w:t>Vascular surgery</w:t>
            </w:r>
          </w:p>
        </w:tc>
        <w:tc>
          <w:tcPr>
            <w:tcW w:w="850" w:type="dxa"/>
          </w:tcPr>
          <w:p w14:paraId="327D8C14" w14:textId="77777777" w:rsidR="002228CD" w:rsidRDefault="002228CD" w:rsidP="002228CD">
            <w:pPr>
              <w:pStyle w:val="ListParagraph1"/>
              <w:spacing w:after="0" w:line="240" w:lineRule="auto"/>
              <w:ind w:left="0"/>
            </w:pPr>
            <w:r>
              <w:t>ST7</w:t>
            </w:r>
          </w:p>
        </w:tc>
        <w:tc>
          <w:tcPr>
            <w:tcW w:w="993" w:type="dxa"/>
          </w:tcPr>
          <w:p w14:paraId="15739843" w14:textId="77777777" w:rsidR="002228CD" w:rsidRDefault="002228CD" w:rsidP="002228CD">
            <w:pPr>
              <w:pStyle w:val="ListParagraph1"/>
              <w:spacing w:after="0" w:line="240" w:lineRule="auto"/>
              <w:ind w:left="0"/>
            </w:pPr>
            <w:r>
              <w:t>0</w:t>
            </w:r>
          </w:p>
        </w:tc>
        <w:tc>
          <w:tcPr>
            <w:tcW w:w="992" w:type="dxa"/>
          </w:tcPr>
          <w:p w14:paraId="0EA4F046" w14:textId="77777777" w:rsidR="002228CD" w:rsidRDefault="002228CD" w:rsidP="002228CD">
            <w:pPr>
              <w:pStyle w:val="ListParagraph1"/>
              <w:spacing w:after="0" w:line="240" w:lineRule="auto"/>
              <w:ind w:left="0"/>
            </w:pPr>
            <w:r>
              <w:t>0</w:t>
            </w:r>
          </w:p>
        </w:tc>
        <w:tc>
          <w:tcPr>
            <w:tcW w:w="992" w:type="dxa"/>
          </w:tcPr>
          <w:p w14:paraId="68A26E2A" w14:textId="77777777" w:rsidR="002228CD" w:rsidRDefault="002228CD" w:rsidP="002228CD">
            <w:pPr>
              <w:pStyle w:val="ListParagraph1"/>
              <w:spacing w:after="0" w:line="240" w:lineRule="auto"/>
              <w:ind w:left="0"/>
            </w:pPr>
            <w:r>
              <w:t>1</w:t>
            </w:r>
          </w:p>
        </w:tc>
        <w:tc>
          <w:tcPr>
            <w:tcW w:w="992" w:type="dxa"/>
          </w:tcPr>
          <w:p w14:paraId="3A693F10" w14:textId="77777777" w:rsidR="002228CD" w:rsidRDefault="002228CD" w:rsidP="002228CD">
            <w:pPr>
              <w:pStyle w:val="ListParagraph1"/>
              <w:spacing w:after="0" w:line="240" w:lineRule="auto"/>
              <w:ind w:left="0"/>
            </w:pPr>
            <w:r>
              <w:t>1</w:t>
            </w:r>
          </w:p>
        </w:tc>
        <w:tc>
          <w:tcPr>
            <w:tcW w:w="993" w:type="dxa"/>
          </w:tcPr>
          <w:p w14:paraId="72A521AD" w14:textId="77777777" w:rsidR="002228CD" w:rsidRDefault="002228CD" w:rsidP="002228CD">
            <w:pPr>
              <w:pStyle w:val="ListParagraph1"/>
              <w:spacing w:after="0" w:line="240" w:lineRule="auto"/>
              <w:ind w:left="0"/>
            </w:pPr>
            <w:r>
              <w:t>0.5</w:t>
            </w:r>
          </w:p>
        </w:tc>
        <w:tc>
          <w:tcPr>
            <w:tcW w:w="1275" w:type="dxa"/>
          </w:tcPr>
          <w:p w14:paraId="4409D405" w14:textId="77777777" w:rsidR="002228CD" w:rsidRDefault="002228CD" w:rsidP="002228CD">
            <w:pPr>
              <w:pStyle w:val="ListParagraph1"/>
              <w:spacing w:after="0" w:line="240" w:lineRule="auto"/>
              <w:ind w:left="0"/>
            </w:pPr>
            <w:r>
              <w:t>112</w:t>
            </w:r>
          </w:p>
        </w:tc>
        <w:tc>
          <w:tcPr>
            <w:tcW w:w="1228" w:type="dxa"/>
          </w:tcPr>
          <w:p w14:paraId="4817AC7E" w14:textId="77777777" w:rsidR="002228CD" w:rsidRDefault="00AC3FDC" w:rsidP="002228CD">
            <w:pPr>
              <w:pStyle w:val="ListParagraph1"/>
              <w:spacing w:after="0" w:line="240" w:lineRule="auto"/>
              <w:ind w:left="0"/>
            </w:pPr>
            <w:r>
              <w:t>2.2</w:t>
            </w:r>
          </w:p>
        </w:tc>
      </w:tr>
      <w:tr w:rsidR="002228CD" w14:paraId="13EBF974" w14:textId="77777777" w:rsidTr="009E477E">
        <w:tc>
          <w:tcPr>
            <w:tcW w:w="1560" w:type="dxa"/>
          </w:tcPr>
          <w:p w14:paraId="12924422" w14:textId="77777777" w:rsidR="002228CD" w:rsidRPr="00AC3FDC" w:rsidRDefault="002228CD" w:rsidP="002228CD">
            <w:pPr>
              <w:pStyle w:val="ListParagraph1"/>
              <w:spacing w:after="0" w:line="240" w:lineRule="auto"/>
              <w:ind w:left="0"/>
              <w:rPr>
                <w:b/>
              </w:rPr>
            </w:pPr>
            <w:r w:rsidRPr="00AC3FDC">
              <w:rPr>
                <w:b/>
              </w:rPr>
              <w:t>Total</w:t>
            </w:r>
          </w:p>
        </w:tc>
        <w:tc>
          <w:tcPr>
            <w:tcW w:w="850" w:type="dxa"/>
          </w:tcPr>
          <w:p w14:paraId="104C9808" w14:textId="77777777" w:rsidR="002228CD" w:rsidRPr="00AC3FDC" w:rsidRDefault="002228CD" w:rsidP="002228CD">
            <w:pPr>
              <w:pStyle w:val="ListParagraph1"/>
              <w:spacing w:after="0" w:line="240" w:lineRule="auto"/>
              <w:ind w:left="0"/>
              <w:rPr>
                <w:b/>
              </w:rPr>
            </w:pPr>
          </w:p>
        </w:tc>
        <w:tc>
          <w:tcPr>
            <w:tcW w:w="993" w:type="dxa"/>
          </w:tcPr>
          <w:p w14:paraId="65712FEA" w14:textId="77777777" w:rsidR="002228CD" w:rsidRPr="00AC3FDC" w:rsidRDefault="002228CD" w:rsidP="002228CD">
            <w:pPr>
              <w:pStyle w:val="ListParagraph1"/>
              <w:spacing w:after="0" w:line="240" w:lineRule="auto"/>
              <w:ind w:left="0"/>
              <w:rPr>
                <w:b/>
              </w:rPr>
            </w:pPr>
            <w:r w:rsidRPr="00AC3FDC">
              <w:rPr>
                <w:b/>
              </w:rPr>
              <w:t>2.33</w:t>
            </w:r>
          </w:p>
        </w:tc>
        <w:tc>
          <w:tcPr>
            <w:tcW w:w="992" w:type="dxa"/>
          </w:tcPr>
          <w:p w14:paraId="42480903" w14:textId="77777777" w:rsidR="002228CD" w:rsidRPr="00AC3FDC" w:rsidRDefault="002228CD" w:rsidP="002228CD">
            <w:pPr>
              <w:pStyle w:val="ListParagraph1"/>
              <w:spacing w:after="0" w:line="240" w:lineRule="auto"/>
              <w:ind w:left="0"/>
              <w:rPr>
                <w:b/>
              </w:rPr>
            </w:pPr>
            <w:r w:rsidRPr="00AC3FDC">
              <w:rPr>
                <w:b/>
              </w:rPr>
              <w:t>3</w:t>
            </w:r>
          </w:p>
        </w:tc>
        <w:tc>
          <w:tcPr>
            <w:tcW w:w="992" w:type="dxa"/>
          </w:tcPr>
          <w:p w14:paraId="608E8C3C" w14:textId="77777777" w:rsidR="002228CD" w:rsidRPr="00AC3FDC" w:rsidRDefault="002228CD" w:rsidP="002228CD">
            <w:pPr>
              <w:pStyle w:val="ListParagraph1"/>
              <w:spacing w:after="0" w:line="240" w:lineRule="auto"/>
              <w:ind w:left="0"/>
              <w:rPr>
                <w:b/>
              </w:rPr>
            </w:pPr>
            <w:r w:rsidRPr="00AC3FDC">
              <w:rPr>
                <w:b/>
              </w:rPr>
              <w:t>3.5</w:t>
            </w:r>
          </w:p>
        </w:tc>
        <w:tc>
          <w:tcPr>
            <w:tcW w:w="992" w:type="dxa"/>
          </w:tcPr>
          <w:p w14:paraId="57A6B2F6" w14:textId="77777777" w:rsidR="002228CD" w:rsidRPr="00AC3FDC" w:rsidRDefault="002228CD" w:rsidP="002228CD">
            <w:pPr>
              <w:pStyle w:val="ListParagraph1"/>
              <w:spacing w:after="0" w:line="240" w:lineRule="auto"/>
              <w:ind w:left="0"/>
              <w:rPr>
                <w:b/>
              </w:rPr>
            </w:pPr>
            <w:r w:rsidRPr="00AC3FDC">
              <w:rPr>
                <w:b/>
              </w:rPr>
              <w:t>7</w:t>
            </w:r>
          </w:p>
        </w:tc>
        <w:tc>
          <w:tcPr>
            <w:tcW w:w="993" w:type="dxa"/>
          </w:tcPr>
          <w:p w14:paraId="312C670D" w14:textId="77777777" w:rsidR="002228CD" w:rsidRPr="00AC3FDC" w:rsidRDefault="002228CD" w:rsidP="002228CD">
            <w:pPr>
              <w:pStyle w:val="ListParagraph1"/>
              <w:spacing w:after="0" w:line="240" w:lineRule="auto"/>
              <w:ind w:left="0"/>
              <w:rPr>
                <w:b/>
              </w:rPr>
            </w:pPr>
            <w:r w:rsidRPr="00AC3FDC">
              <w:rPr>
                <w:b/>
              </w:rPr>
              <w:t>3.955</w:t>
            </w:r>
          </w:p>
        </w:tc>
        <w:tc>
          <w:tcPr>
            <w:tcW w:w="1275" w:type="dxa"/>
          </w:tcPr>
          <w:p w14:paraId="0F7A35D7" w14:textId="77777777" w:rsidR="002228CD" w:rsidRPr="00AC3FDC" w:rsidRDefault="002228CD" w:rsidP="002228CD">
            <w:pPr>
              <w:pStyle w:val="ListParagraph1"/>
              <w:spacing w:after="0" w:line="240" w:lineRule="auto"/>
              <w:ind w:left="0"/>
              <w:rPr>
                <w:b/>
              </w:rPr>
            </w:pPr>
            <w:r w:rsidRPr="00AC3FDC">
              <w:rPr>
                <w:b/>
              </w:rPr>
              <w:t>948</w:t>
            </w:r>
          </w:p>
        </w:tc>
        <w:tc>
          <w:tcPr>
            <w:tcW w:w="1228" w:type="dxa"/>
          </w:tcPr>
          <w:p w14:paraId="5E7043F5" w14:textId="77777777" w:rsidR="002228CD" w:rsidRPr="00AC3FDC" w:rsidRDefault="00AC3FDC" w:rsidP="002228CD">
            <w:pPr>
              <w:pStyle w:val="ListParagraph1"/>
              <w:spacing w:after="0" w:line="240" w:lineRule="auto"/>
              <w:ind w:left="0"/>
              <w:rPr>
                <w:b/>
              </w:rPr>
            </w:pPr>
            <w:r w:rsidRPr="00AC3FDC">
              <w:rPr>
                <w:b/>
              </w:rPr>
              <w:t>18.2</w:t>
            </w:r>
          </w:p>
        </w:tc>
      </w:tr>
    </w:tbl>
    <w:p w14:paraId="5ECD9CBF" w14:textId="77777777" w:rsidR="004B7EFF" w:rsidRDefault="004B7EFF" w:rsidP="004B7EFF">
      <w:pPr>
        <w:pStyle w:val="ListParagraph1"/>
        <w:ind w:left="0"/>
        <w:rPr>
          <w:b/>
        </w:rPr>
      </w:pPr>
    </w:p>
    <w:p w14:paraId="110341C7" w14:textId="77777777" w:rsidR="004B7EFF" w:rsidRDefault="004B7EFF" w:rsidP="004B7EFF">
      <w:pPr>
        <w:pStyle w:val="ListParagraph1"/>
        <w:ind w:left="0"/>
        <w:rPr>
          <w:b/>
        </w:rPr>
      </w:pPr>
    </w:p>
    <w:p w14:paraId="44FF2278" w14:textId="77777777" w:rsidR="002228CD" w:rsidRPr="004B7EFF" w:rsidRDefault="004B7EFF" w:rsidP="004B7EFF">
      <w:pPr>
        <w:pStyle w:val="ListParagraph1"/>
        <w:ind w:left="0"/>
        <w:rPr>
          <w:b/>
        </w:rPr>
      </w:pPr>
      <w:r w:rsidRPr="004B7EFF">
        <w:rPr>
          <w:b/>
        </w:rPr>
        <w:lastRenderedPageBreak/>
        <w:t>Trainees outside the Trust</w:t>
      </w:r>
      <w:r>
        <w:rPr>
          <w:b/>
        </w:rPr>
        <w:t xml:space="preserve"> overseen by the LET </w:t>
      </w:r>
      <w:proofErr w:type="gramStart"/>
      <w:r>
        <w:rPr>
          <w:b/>
        </w:rPr>
        <w:t>guardian</w:t>
      </w:r>
      <w:proofErr w:type="gramEnd"/>
    </w:p>
    <w:tbl>
      <w:tblPr>
        <w:tblW w:w="98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50"/>
        <w:gridCol w:w="993"/>
        <w:gridCol w:w="992"/>
        <w:gridCol w:w="992"/>
        <w:gridCol w:w="992"/>
        <w:gridCol w:w="993"/>
        <w:gridCol w:w="1275"/>
        <w:gridCol w:w="1228"/>
      </w:tblGrid>
      <w:tr w:rsidR="004B7EFF" w14:paraId="32743F9E" w14:textId="77777777" w:rsidTr="00807995">
        <w:tc>
          <w:tcPr>
            <w:tcW w:w="1560" w:type="dxa"/>
          </w:tcPr>
          <w:p w14:paraId="0ADA31C2" w14:textId="77777777" w:rsidR="004B7EFF" w:rsidRDefault="004B7EFF" w:rsidP="00807995">
            <w:pPr>
              <w:pStyle w:val="ListParagraph1"/>
              <w:spacing w:after="0" w:line="240" w:lineRule="auto"/>
              <w:ind w:left="0"/>
            </w:pPr>
            <w:r>
              <w:t>GP trainees</w:t>
            </w:r>
          </w:p>
        </w:tc>
        <w:tc>
          <w:tcPr>
            <w:tcW w:w="850" w:type="dxa"/>
          </w:tcPr>
          <w:p w14:paraId="6FB3A2FC" w14:textId="77777777" w:rsidR="004B7EFF" w:rsidRDefault="004B7EFF" w:rsidP="00807995">
            <w:pPr>
              <w:pStyle w:val="ListParagraph1"/>
              <w:spacing w:after="0" w:line="240" w:lineRule="auto"/>
              <w:ind w:left="0"/>
            </w:pPr>
            <w:r>
              <w:t>ST1</w:t>
            </w:r>
          </w:p>
        </w:tc>
        <w:tc>
          <w:tcPr>
            <w:tcW w:w="993" w:type="dxa"/>
          </w:tcPr>
          <w:p w14:paraId="598090A3" w14:textId="77777777" w:rsidR="004B7EFF" w:rsidRDefault="004B7EFF" w:rsidP="00807995">
            <w:pPr>
              <w:pStyle w:val="ListParagraph1"/>
              <w:spacing w:after="0" w:line="240" w:lineRule="auto"/>
              <w:ind w:left="0"/>
            </w:pPr>
            <w:r>
              <w:t>1</w:t>
            </w:r>
          </w:p>
        </w:tc>
        <w:tc>
          <w:tcPr>
            <w:tcW w:w="992" w:type="dxa"/>
          </w:tcPr>
          <w:p w14:paraId="3439970E" w14:textId="77777777" w:rsidR="004B7EFF" w:rsidRDefault="004B7EFF" w:rsidP="00807995">
            <w:pPr>
              <w:pStyle w:val="ListParagraph1"/>
              <w:spacing w:after="0" w:line="240" w:lineRule="auto"/>
              <w:ind w:left="0"/>
            </w:pPr>
            <w:r>
              <w:t>1</w:t>
            </w:r>
          </w:p>
        </w:tc>
        <w:tc>
          <w:tcPr>
            <w:tcW w:w="992" w:type="dxa"/>
          </w:tcPr>
          <w:p w14:paraId="2064C5C3" w14:textId="77777777" w:rsidR="004B7EFF" w:rsidRDefault="004B7EFF" w:rsidP="00807995">
            <w:pPr>
              <w:pStyle w:val="ListParagraph1"/>
              <w:spacing w:after="0" w:line="240" w:lineRule="auto"/>
              <w:ind w:left="0"/>
            </w:pPr>
            <w:r>
              <w:t>1</w:t>
            </w:r>
          </w:p>
        </w:tc>
        <w:tc>
          <w:tcPr>
            <w:tcW w:w="992" w:type="dxa"/>
          </w:tcPr>
          <w:p w14:paraId="55037CDD" w14:textId="77777777" w:rsidR="004B7EFF" w:rsidRDefault="004B7EFF" w:rsidP="00807995">
            <w:pPr>
              <w:pStyle w:val="ListParagraph1"/>
              <w:spacing w:after="0" w:line="240" w:lineRule="auto"/>
              <w:ind w:left="0"/>
            </w:pPr>
            <w:r>
              <w:t>1</w:t>
            </w:r>
          </w:p>
        </w:tc>
        <w:tc>
          <w:tcPr>
            <w:tcW w:w="993" w:type="dxa"/>
          </w:tcPr>
          <w:p w14:paraId="01DA1EE1" w14:textId="77777777" w:rsidR="004B7EFF" w:rsidRDefault="004B7EFF" w:rsidP="00807995">
            <w:pPr>
              <w:pStyle w:val="ListParagraph1"/>
              <w:spacing w:after="0" w:line="240" w:lineRule="auto"/>
              <w:ind w:left="0"/>
            </w:pPr>
            <w:r>
              <w:t>1</w:t>
            </w:r>
          </w:p>
        </w:tc>
        <w:tc>
          <w:tcPr>
            <w:tcW w:w="1275" w:type="dxa"/>
          </w:tcPr>
          <w:p w14:paraId="27DF4321" w14:textId="77777777" w:rsidR="004B7EFF" w:rsidRDefault="004B7EFF" w:rsidP="00807995">
            <w:pPr>
              <w:pStyle w:val="ListParagraph1"/>
              <w:spacing w:after="0" w:line="240" w:lineRule="auto"/>
              <w:ind w:left="0"/>
            </w:pPr>
            <w:r>
              <w:t>215</w:t>
            </w:r>
          </w:p>
        </w:tc>
        <w:tc>
          <w:tcPr>
            <w:tcW w:w="1228" w:type="dxa"/>
          </w:tcPr>
          <w:p w14:paraId="3B1F14F8" w14:textId="77777777" w:rsidR="004B7EFF" w:rsidRDefault="004B7EFF" w:rsidP="00807995">
            <w:pPr>
              <w:pStyle w:val="ListParagraph1"/>
              <w:spacing w:after="0" w:line="240" w:lineRule="auto"/>
              <w:ind w:left="0"/>
            </w:pPr>
            <w:r>
              <w:t>4.1</w:t>
            </w:r>
          </w:p>
        </w:tc>
      </w:tr>
      <w:tr w:rsidR="004B7EFF" w14:paraId="7E41112E" w14:textId="77777777" w:rsidTr="00807995">
        <w:tc>
          <w:tcPr>
            <w:tcW w:w="1560" w:type="dxa"/>
          </w:tcPr>
          <w:p w14:paraId="30B95BDA" w14:textId="77777777" w:rsidR="004B7EFF" w:rsidRDefault="004B7EFF" w:rsidP="00807995">
            <w:pPr>
              <w:pStyle w:val="ListParagraph1"/>
              <w:spacing w:after="0" w:line="240" w:lineRule="auto"/>
              <w:ind w:left="0"/>
            </w:pPr>
            <w:r>
              <w:t>Public health trainees</w:t>
            </w:r>
          </w:p>
        </w:tc>
        <w:tc>
          <w:tcPr>
            <w:tcW w:w="850" w:type="dxa"/>
          </w:tcPr>
          <w:p w14:paraId="520590A9" w14:textId="77777777" w:rsidR="004B7EFF" w:rsidRDefault="004B7EFF" w:rsidP="00807995">
            <w:pPr>
              <w:pStyle w:val="ListParagraph1"/>
              <w:spacing w:after="0" w:line="240" w:lineRule="auto"/>
              <w:ind w:left="0"/>
            </w:pPr>
            <w:r>
              <w:t>ST6</w:t>
            </w:r>
          </w:p>
        </w:tc>
        <w:tc>
          <w:tcPr>
            <w:tcW w:w="993" w:type="dxa"/>
          </w:tcPr>
          <w:p w14:paraId="3A8B94C3" w14:textId="77777777" w:rsidR="004B7EFF" w:rsidRDefault="004B7EFF" w:rsidP="00807995">
            <w:pPr>
              <w:pStyle w:val="ListParagraph1"/>
              <w:spacing w:after="0" w:line="240" w:lineRule="auto"/>
              <w:ind w:left="0"/>
            </w:pPr>
            <w:r>
              <w:t>0</w:t>
            </w:r>
          </w:p>
        </w:tc>
        <w:tc>
          <w:tcPr>
            <w:tcW w:w="992" w:type="dxa"/>
          </w:tcPr>
          <w:p w14:paraId="17D6CFDD" w14:textId="77777777" w:rsidR="004B7EFF" w:rsidRDefault="004B7EFF" w:rsidP="00807995">
            <w:pPr>
              <w:pStyle w:val="ListParagraph1"/>
              <w:spacing w:after="0" w:line="240" w:lineRule="auto"/>
              <w:ind w:left="0"/>
            </w:pPr>
            <w:r>
              <w:t>0</w:t>
            </w:r>
          </w:p>
        </w:tc>
        <w:tc>
          <w:tcPr>
            <w:tcW w:w="992" w:type="dxa"/>
          </w:tcPr>
          <w:p w14:paraId="26F10EA7" w14:textId="77777777" w:rsidR="004B7EFF" w:rsidRDefault="004B7EFF" w:rsidP="00807995">
            <w:pPr>
              <w:pStyle w:val="ListParagraph1"/>
              <w:spacing w:after="0" w:line="240" w:lineRule="auto"/>
              <w:ind w:left="0"/>
            </w:pPr>
            <w:r>
              <w:t>0</w:t>
            </w:r>
          </w:p>
        </w:tc>
        <w:tc>
          <w:tcPr>
            <w:tcW w:w="992" w:type="dxa"/>
          </w:tcPr>
          <w:p w14:paraId="08CBED72" w14:textId="77777777" w:rsidR="004B7EFF" w:rsidRDefault="004B7EFF" w:rsidP="00807995">
            <w:pPr>
              <w:pStyle w:val="ListParagraph1"/>
              <w:spacing w:after="0" w:line="240" w:lineRule="auto"/>
              <w:ind w:left="0"/>
            </w:pPr>
            <w:r>
              <w:t>0</w:t>
            </w:r>
          </w:p>
        </w:tc>
        <w:tc>
          <w:tcPr>
            <w:tcW w:w="993" w:type="dxa"/>
          </w:tcPr>
          <w:p w14:paraId="1260DA8D" w14:textId="77777777" w:rsidR="004B7EFF" w:rsidRDefault="004B7EFF" w:rsidP="00807995">
            <w:pPr>
              <w:pStyle w:val="ListParagraph1"/>
              <w:spacing w:after="0" w:line="240" w:lineRule="auto"/>
              <w:ind w:left="0"/>
            </w:pPr>
            <w:r>
              <w:t>0</w:t>
            </w:r>
          </w:p>
        </w:tc>
        <w:tc>
          <w:tcPr>
            <w:tcW w:w="1275" w:type="dxa"/>
          </w:tcPr>
          <w:p w14:paraId="28AD062D" w14:textId="77777777" w:rsidR="004B7EFF" w:rsidRDefault="004B7EFF" w:rsidP="00807995">
            <w:pPr>
              <w:pStyle w:val="ListParagraph1"/>
              <w:spacing w:after="0" w:line="240" w:lineRule="auto"/>
              <w:ind w:left="0"/>
            </w:pPr>
            <w:r>
              <w:t>0</w:t>
            </w:r>
          </w:p>
        </w:tc>
        <w:tc>
          <w:tcPr>
            <w:tcW w:w="1228" w:type="dxa"/>
          </w:tcPr>
          <w:p w14:paraId="10D2B39C" w14:textId="77777777" w:rsidR="004B7EFF" w:rsidRDefault="004B7EFF" w:rsidP="00807995">
            <w:pPr>
              <w:pStyle w:val="ListParagraph1"/>
              <w:spacing w:after="0" w:line="240" w:lineRule="auto"/>
              <w:ind w:left="0"/>
            </w:pPr>
            <w:r>
              <w:t>0</w:t>
            </w:r>
          </w:p>
        </w:tc>
      </w:tr>
    </w:tbl>
    <w:p w14:paraId="213D03AE" w14:textId="77777777" w:rsidR="009E477E" w:rsidRDefault="009E477E" w:rsidP="00633A8D">
      <w:pPr>
        <w:rPr>
          <w:b/>
        </w:rPr>
      </w:pPr>
    </w:p>
    <w:p w14:paraId="3CC2E854" w14:textId="77777777" w:rsidR="00633A8D" w:rsidRDefault="00633A8D" w:rsidP="00633A8D">
      <w:pPr>
        <w:rPr>
          <w:b/>
        </w:rPr>
      </w:pPr>
      <w:r>
        <w:rPr>
          <w:b/>
        </w:rPr>
        <w:t xml:space="preserve">Issues arising </w:t>
      </w:r>
    </w:p>
    <w:p w14:paraId="1C57A83F" w14:textId="77777777" w:rsidR="00633A8D" w:rsidRDefault="00633A8D" w:rsidP="00633A8D">
      <w:pPr>
        <w:rPr>
          <w:i/>
        </w:rPr>
      </w:pPr>
      <w:r>
        <w:rPr>
          <w:i/>
        </w:rPr>
        <w:t>This section should be used to highlight any residual or recurrent issues or concerns suggested by the above data</w:t>
      </w:r>
      <w:r w:rsidR="009E477E">
        <w:rPr>
          <w:i/>
        </w:rPr>
        <w:t>.</w:t>
      </w:r>
      <w:r>
        <w:rPr>
          <w:i/>
        </w:rPr>
        <w:t xml:space="preserve"> </w:t>
      </w:r>
      <w:proofErr w:type="gramStart"/>
      <w:r w:rsidR="009E477E">
        <w:rPr>
          <w:i/>
        </w:rPr>
        <w:t>S</w:t>
      </w:r>
      <w:r>
        <w:rPr>
          <w:i/>
        </w:rPr>
        <w:t>pecifically</w:t>
      </w:r>
      <w:proofErr w:type="gramEnd"/>
      <w:r w:rsidR="009E477E">
        <w:rPr>
          <w:i/>
        </w:rPr>
        <w:t xml:space="preserve"> it should include</w:t>
      </w:r>
      <w:r>
        <w:rPr>
          <w:i/>
        </w:rPr>
        <w:t xml:space="preserve"> areas where </w:t>
      </w:r>
      <w:proofErr w:type="spellStart"/>
      <w:r>
        <w:rPr>
          <w:i/>
        </w:rPr>
        <w:t>rota</w:t>
      </w:r>
      <w:proofErr w:type="spellEnd"/>
      <w:r>
        <w:rPr>
          <w:i/>
        </w:rPr>
        <w:t xml:space="preserve"> gaps are persistent across more than one quarter. The narrative should cover, as a minimum, the following:</w:t>
      </w:r>
    </w:p>
    <w:p w14:paraId="69DE4889" w14:textId="77777777" w:rsidR="00633A8D" w:rsidRDefault="009E477E" w:rsidP="00633A8D">
      <w:pPr>
        <w:pStyle w:val="ListParagraph"/>
        <w:numPr>
          <w:ilvl w:val="0"/>
          <w:numId w:val="5"/>
        </w:numPr>
        <w:rPr>
          <w:i/>
        </w:rPr>
      </w:pPr>
      <w:r>
        <w:rPr>
          <w:i/>
        </w:rPr>
        <w:t>t</w:t>
      </w:r>
      <w:r w:rsidR="00633A8D">
        <w:rPr>
          <w:i/>
        </w:rPr>
        <w:t>he reason for the gap (</w:t>
      </w:r>
      <w:proofErr w:type="spellStart"/>
      <w:proofErr w:type="gramStart"/>
      <w:r>
        <w:rPr>
          <w:i/>
        </w:rPr>
        <w:t>eg</w:t>
      </w:r>
      <w:proofErr w:type="spellEnd"/>
      <w:proofErr w:type="gramEnd"/>
      <w:r>
        <w:rPr>
          <w:i/>
        </w:rPr>
        <w:t xml:space="preserve"> </w:t>
      </w:r>
      <w:r w:rsidR="00633A8D">
        <w:rPr>
          <w:i/>
        </w:rPr>
        <w:t>H</w:t>
      </w:r>
      <w:r>
        <w:rPr>
          <w:i/>
        </w:rPr>
        <w:t>ealth Education England</w:t>
      </w:r>
      <w:r w:rsidR="00633A8D">
        <w:rPr>
          <w:i/>
        </w:rPr>
        <w:t xml:space="preserve"> gap, trust</w:t>
      </w:r>
      <w:r>
        <w:rPr>
          <w:i/>
        </w:rPr>
        <w:t xml:space="preserve"> doctor gap, visa restrictions</w:t>
      </w:r>
      <w:r w:rsidR="00633A8D">
        <w:rPr>
          <w:i/>
        </w:rPr>
        <w:t>)</w:t>
      </w:r>
    </w:p>
    <w:p w14:paraId="0F918CD5" w14:textId="77777777" w:rsidR="00633A8D" w:rsidRPr="00633A8D" w:rsidRDefault="009E477E" w:rsidP="00633A8D">
      <w:pPr>
        <w:pStyle w:val="ListParagraph"/>
        <w:numPr>
          <w:ilvl w:val="0"/>
          <w:numId w:val="5"/>
        </w:numPr>
        <w:rPr>
          <w:i/>
        </w:rPr>
      </w:pPr>
      <w:r>
        <w:rPr>
          <w:i/>
        </w:rPr>
        <w:t>t</w:t>
      </w:r>
      <w:r w:rsidR="00633A8D">
        <w:rPr>
          <w:i/>
        </w:rPr>
        <w:t xml:space="preserve">he obstacles to resolving any </w:t>
      </w:r>
      <w:proofErr w:type="gramStart"/>
      <w:r w:rsidR="00633A8D">
        <w:rPr>
          <w:i/>
        </w:rPr>
        <w:t>particular issues</w:t>
      </w:r>
      <w:proofErr w:type="gramEnd"/>
      <w:r w:rsidR="00633A8D">
        <w:rPr>
          <w:i/>
        </w:rPr>
        <w:t xml:space="preserve"> (internal, external systemic)</w:t>
      </w:r>
      <w:r>
        <w:rPr>
          <w:i/>
        </w:rPr>
        <w:t>.</w:t>
      </w:r>
    </w:p>
    <w:p w14:paraId="5DD491C8" w14:textId="77777777" w:rsidR="009E477E" w:rsidRPr="009E477E" w:rsidRDefault="009E477E" w:rsidP="00633A8D">
      <w:pPr>
        <w:rPr>
          <w:b/>
          <w:sz w:val="8"/>
        </w:rPr>
      </w:pPr>
    </w:p>
    <w:p w14:paraId="3EE98DA8" w14:textId="77777777" w:rsidR="00633A8D" w:rsidRDefault="00633A8D" w:rsidP="00633A8D">
      <w:pPr>
        <w:rPr>
          <w:b/>
        </w:rPr>
      </w:pPr>
      <w:r>
        <w:rPr>
          <w:b/>
        </w:rPr>
        <w:t xml:space="preserve">Actions taken to resolve </w:t>
      </w:r>
      <w:proofErr w:type="gramStart"/>
      <w:r>
        <w:rPr>
          <w:b/>
        </w:rPr>
        <w:t>issues</w:t>
      </w:r>
      <w:proofErr w:type="gramEnd"/>
    </w:p>
    <w:p w14:paraId="20EC445E" w14:textId="77777777" w:rsidR="00633A8D" w:rsidRDefault="00633A8D" w:rsidP="00633A8D">
      <w:pPr>
        <w:rPr>
          <w:i/>
        </w:rPr>
      </w:pPr>
      <w:r w:rsidRPr="006A22D3">
        <w:rPr>
          <w:i/>
        </w:rPr>
        <w:t>Th</w:t>
      </w:r>
      <w:r>
        <w:rPr>
          <w:i/>
        </w:rPr>
        <w:t xml:space="preserve">is section should identify and describe </w:t>
      </w:r>
      <w:r w:rsidRPr="006A22D3">
        <w:rPr>
          <w:i/>
        </w:rPr>
        <w:t>steps already taken by the employer to resolve the issue (n</w:t>
      </w:r>
      <w:r w:rsidR="00911B1D">
        <w:rPr>
          <w:i/>
        </w:rPr>
        <w:t>umber</w:t>
      </w:r>
      <w:r w:rsidRPr="006A22D3">
        <w:rPr>
          <w:i/>
        </w:rPr>
        <w:t xml:space="preserve"> of recruitment episodes undertaken, outcome of these, </w:t>
      </w:r>
      <w:proofErr w:type="spellStart"/>
      <w:r w:rsidRPr="006A22D3">
        <w:rPr>
          <w:i/>
        </w:rPr>
        <w:t>rota</w:t>
      </w:r>
      <w:proofErr w:type="spellEnd"/>
      <w:r w:rsidRPr="006A22D3">
        <w:rPr>
          <w:i/>
        </w:rPr>
        <w:t xml:space="preserve"> r</w:t>
      </w:r>
      <w:r w:rsidR="006A22D3" w:rsidRPr="006A22D3">
        <w:rPr>
          <w:i/>
        </w:rPr>
        <w:t xml:space="preserve">edesign, service </w:t>
      </w:r>
      <w:proofErr w:type="spellStart"/>
      <w:r w:rsidR="006A22D3" w:rsidRPr="006A22D3">
        <w:rPr>
          <w:i/>
        </w:rPr>
        <w:t>resdesign</w:t>
      </w:r>
      <w:proofErr w:type="spellEnd"/>
      <w:r w:rsidR="006A22D3" w:rsidRPr="006A22D3">
        <w:rPr>
          <w:i/>
        </w:rPr>
        <w:t xml:space="preserve"> etc)</w:t>
      </w:r>
      <w:r w:rsidR="006A22D3">
        <w:rPr>
          <w:i/>
        </w:rPr>
        <w:t xml:space="preserve">. It may </w:t>
      </w:r>
      <w:r>
        <w:rPr>
          <w:i/>
        </w:rPr>
        <w:t>be possible to draw in data on work schedule reviews to indicate concerns which have already been addressed</w:t>
      </w:r>
      <w:r w:rsidR="009E477E">
        <w:rPr>
          <w:i/>
        </w:rPr>
        <w:t>,</w:t>
      </w:r>
      <w:r>
        <w:rPr>
          <w:i/>
        </w:rPr>
        <w:t xml:space="preserve"> however, it may be that the guardian </w:t>
      </w:r>
      <w:proofErr w:type="gramStart"/>
      <w:r>
        <w:rPr>
          <w:i/>
        </w:rPr>
        <w:t>has to</w:t>
      </w:r>
      <w:proofErr w:type="gramEnd"/>
      <w:r>
        <w:rPr>
          <w:i/>
        </w:rPr>
        <w:t xml:space="preserve"> use this section to highlight departments which have not</w:t>
      </w:r>
      <w:r w:rsidR="00911B1D">
        <w:rPr>
          <w:i/>
        </w:rPr>
        <w:t xml:space="preserve"> or</w:t>
      </w:r>
      <w:r>
        <w:rPr>
          <w:i/>
        </w:rPr>
        <w:t xml:space="preserve"> cannot take appropriate st</w:t>
      </w:r>
      <w:r w:rsidR="006A22D3">
        <w:rPr>
          <w:i/>
        </w:rPr>
        <w:t>eps to ensure safe staffing levels</w:t>
      </w:r>
      <w:r>
        <w:rPr>
          <w:i/>
        </w:rPr>
        <w:t>.</w:t>
      </w:r>
    </w:p>
    <w:p w14:paraId="230797ED" w14:textId="77777777" w:rsidR="00F07F8E" w:rsidRPr="00E44B01" w:rsidRDefault="00F07F8E" w:rsidP="00F07F8E">
      <w:pPr>
        <w:rPr>
          <w:b/>
        </w:rPr>
      </w:pPr>
      <w:r w:rsidRPr="00E44B01">
        <w:rPr>
          <w:b/>
        </w:rPr>
        <w:t xml:space="preserve">Key issues from host </w:t>
      </w:r>
      <w:r w:rsidR="004B7EFF" w:rsidRPr="00E44B01">
        <w:rPr>
          <w:b/>
        </w:rPr>
        <w:t>organisations</w:t>
      </w:r>
      <w:r w:rsidRPr="00E44B01">
        <w:rPr>
          <w:b/>
        </w:rPr>
        <w:t xml:space="preserve"> and actions </w:t>
      </w:r>
      <w:proofErr w:type="gramStart"/>
      <w:r w:rsidRPr="00E44B01">
        <w:rPr>
          <w:b/>
        </w:rPr>
        <w:t>taken</w:t>
      </w:r>
      <w:proofErr w:type="gramEnd"/>
    </w:p>
    <w:p w14:paraId="755C2767" w14:textId="77777777" w:rsidR="00F07F8E" w:rsidRPr="00E44B01" w:rsidRDefault="00F07F8E" w:rsidP="00F07F8E">
      <w:pPr>
        <w:rPr>
          <w:b/>
        </w:rPr>
      </w:pPr>
      <w:r w:rsidRPr="00E44B01">
        <w:rPr>
          <w:i/>
        </w:rPr>
        <w:t>This section should note any particularly persistent issues and concerns at the host trusts, and steps taken in resolving these issues, and refer the board to the appendices for more detailed information.</w:t>
      </w:r>
    </w:p>
    <w:p w14:paraId="6B607F1F" w14:textId="77777777" w:rsidR="00633A8D" w:rsidRDefault="00633A8D" w:rsidP="00633A8D">
      <w:pPr>
        <w:rPr>
          <w:b/>
        </w:rPr>
      </w:pPr>
      <w:r>
        <w:rPr>
          <w:b/>
        </w:rPr>
        <w:t>Summary</w:t>
      </w:r>
    </w:p>
    <w:p w14:paraId="6FF9A6E5" w14:textId="77777777" w:rsidR="00633A8D" w:rsidRDefault="00633A8D" w:rsidP="00633A8D">
      <w:pPr>
        <w:rPr>
          <w:i/>
        </w:rPr>
      </w:pPr>
      <w:r>
        <w:rPr>
          <w:i/>
        </w:rPr>
        <w:t xml:space="preserve">This section should be a short summation of the information </w:t>
      </w:r>
      <w:proofErr w:type="gramStart"/>
      <w:r>
        <w:rPr>
          <w:i/>
        </w:rPr>
        <w:t>above, and</w:t>
      </w:r>
      <w:proofErr w:type="gramEnd"/>
      <w:r>
        <w:rPr>
          <w:i/>
        </w:rPr>
        <w:t xml:space="preserve"> should be used by the guardian to make an overall statement about the </w:t>
      </w:r>
      <w:r w:rsidR="006A22D3">
        <w:rPr>
          <w:i/>
        </w:rPr>
        <w:t xml:space="preserve">staffing levels within the junior medical workforce </w:t>
      </w:r>
      <w:r>
        <w:rPr>
          <w:i/>
        </w:rPr>
        <w:t xml:space="preserve">across the </w:t>
      </w:r>
      <w:r w:rsidR="009E477E">
        <w:rPr>
          <w:i/>
        </w:rPr>
        <w:t>organis</w:t>
      </w:r>
      <w:r w:rsidR="006A22D3">
        <w:rPr>
          <w:i/>
        </w:rPr>
        <w:t xml:space="preserve">ation – specifically vacancy rates and the resultant </w:t>
      </w:r>
      <w:proofErr w:type="spellStart"/>
      <w:r w:rsidR="006A22D3">
        <w:rPr>
          <w:i/>
        </w:rPr>
        <w:t>rota</w:t>
      </w:r>
      <w:proofErr w:type="spellEnd"/>
      <w:r w:rsidR="006A22D3">
        <w:rPr>
          <w:i/>
        </w:rPr>
        <w:t xml:space="preserve"> gaps</w:t>
      </w:r>
      <w:r w:rsidR="009E477E">
        <w:rPr>
          <w:i/>
        </w:rPr>
        <w:t>.</w:t>
      </w:r>
      <w:r w:rsidR="006A22D3">
        <w:rPr>
          <w:i/>
        </w:rPr>
        <w:t xml:space="preserve"> </w:t>
      </w:r>
      <w:r w:rsidR="009E477E">
        <w:rPr>
          <w:i/>
        </w:rPr>
        <w:t>T</w:t>
      </w:r>
      <w:r w:rsidR="006A22D3">
        <w:rPr>
          <w:i/>
        </w:rPr>
        <w:t>he gua</w:t>
      </w:r>
      <w:r w:rsidR="009E477E">
        <w:rPr>
          <w:i/>
        </w:rPr>
        <w:t xml:space="preserve">rdian may also wish to draw in </w:t>
      </w:r>
      <w:r w:rsidR="006A22D3">
        <w:rPr>
          <w:i/>
        </w:rPr>
        <w:t>concerns linked to workload</w:t>
      </w:r>
      <w:r>
        <w:rPr>
          <w:i/>
        </w:rPr>
        <w:t xml:space="preserve">. This </w:t>
      </w:r>
      <w:r w:rsidR="009E477E">
        <w:rPr>
          <w:i/>
        </w:rPr>
        <w:t>is the key quality assurance statement for the b</w:t>
      </w:r>
      <w:r>
        <w:rPr>
          <w:i/>
        </w:rPr>
        <w:t>oard.</w:t>
      </w:r>
    </w:p>
    <w:p w14:paraId="578488EA" w14:textId="77777777" w:rsidR="00633A8D" w:rsidRDefault="00633A8D" w:rsidP="00633A8D">
      <w:pPr>
        <w:rPr>
          <w:b/>
        </w:rPr>
      </w:pPr>
      <w:r>
        <w:rPr>
          <w:b/>
        </w:rPr>
        <w:t>Questions for consideration</w:t>
      </w:r>
    </w:p>
    <w:p w14:paraId="12855E3D" w14:textId="77777777" w:rsidR="00633A8D" w:rsidRDefault="00633A8D" w:rsidP="00633A8D">
      <w:pPr>
        <w:rPr>
          <w:i/>
        </w:rPr>
      </w:pPr>
      <w:r>
        <w:rPr>
          <w:i/>
        </w:rPr>
        <w:t xml:space="preserve">If the guardian is comfortable with the overall </w:t>
      </w:r>
      <w:r w:rsidR="006A22D3">
        <w:rPr>
          <w:i/>
        </w:rPr>
        <w:t>staffing level</w:t>
      </w:r>
      <w:r>
        <w:rPr>
          <w:i/>
        </w:rPr>
        <w:t xml:space="preserve"> in the </w:t>
      </w:r>
      <w:proofErr w:type="gramStart"/>
      <w:r>
        <w:rPr>
          <w:i/>
        </w:rPr>
        <w:t>organisation, or</w:t>
      </w:r>
      <w:proofErr w:type="gramEnd"/>
      <w:r>
        <w:rPr>
          <w:i/>
        </w:rPr>
        <w:t xml:space="preserve"> fe</w:t>
      </w:r>
      <w:r w:rsidR="009E477E">
        <w:rPr>
          <w:i/>
        </w:rPr>
        <w:t>els that while there are issues</w:t>
      </w:r>
      <w:r>
        <w:rPr>
          <w:i/>
        </w:rPr>
        <w:t xml:space="preserve"> these </w:t>
      </w:r>
      <w:r w:rsidR="009E477E">
        <w:rPr>
          <w:i/>
        </w:rPr>
        <w:t xml:space="preserve">can be </w:t>
      </w:r>
      <w:r>
        <w:rPr>
          <w:i/>
        </w:rPr>
        <w:t xml:space="preserve">resolved, then this section may simply ask the </w:t>
      </w:r>
      <w:r w:rsidR="009E477E">
        <w:rPr>
          <w:i/>
        </w:rPr>
        <w:t>b</w:t>
      </w:r>
      <w:r>
        <w:rPr>
          <w:i/>
        </w:rPr>
        <w:t>oard to note the report and to consider the assurances provided by the guardian</w:t>
      </w:r>
      <w:r w:rsidR="009E477E">
        <w:rPr>
          <w:i/>
        </w:rPr>
        <w:t>.</w:t>
      </w:r>
    </w:p>
    <w:p w14:paraId="217D0CD9" w14:textId="77777777" w:rsidR="00633A8D" w:rsidRDefault="00633A8D" w:rsidP="00633A8D">
      <w:pPr>
        <w:rPr>
          <w:i/>
        </w:rPr>
      </w:pPr>
      <w:r>
        <w:rPr>
          <w:i/>
        </w:rPr>
        <w:t>If on the other hand the guardian feels that there are issues outlined in the report which are not being (or cannot be) tackled, then the guardian shou</w:t>
      </w:r>
      <w:r w:rsidR="009E477E">
        <w:rPr>
          <w:i/>
        </w:rPr>
        <w:t>ld use this section to ask the b</w:t>
      </w:r>
      <w:r>
        <w:rPr>
          <w:i/>
        </w:rPr>
        <w:t xml:space="preserve">oard to consider what escalation, internally or externally (or both) might be recommended </w:t>
      </w:r>
      <w:proofErr w:type="gramStart"/>
      <w:r>
        <w:rPr>
          <w:i/>
        </w:rPr>
        <w:t>in order to</w:t>
      </w:r>
      <w:proofErr w:type="gramEnd"/>
      <w:r>
        <w:rPr>
          <w:i/>
        </w:rPr>
        <w:t xml:space="preserve"> ensure that safe </w:t>
      </w:r>
      <w:r w:rsidR="006A22D3">
        <w:rPr>
          <w:i/>
        </w:rPr>
        <w:t>staffing levels</w:t>
      </w:r>
      <w:r>
        <w:rPr>
          <w:i/>
        </w:rPr>
        <w:t xml:space="preserve"> would not be compromised in the future.</w:t>
      </w:r>
    </w:p>
    <w:p w14:paraId="5562ADA2" w14:textId="77777777" w:rsidR="00633A8D" w:rsidRDefault="00633A8D" w:rsidP="00633A8D">
      <w:pPr>
        <w:rPr>
          <w:b/>
        </w:rPr>
      </w:pPr>
      <w:r>
        <w:rPr>
          <w:b/>
        </w:rPr>
        <w:t>Appendices</w:t>
      </w:r>
    </w:p>
    <w:p w14:paraId="45AC00A9" w14:textId="77777777" w:rsidR="00633A8D" w:rsidRDefault="00633A8D" w:rsidP="00633A8D">
      <w:pPr>
        <w:rPr>
          <w:i/>
        </w:rPr>
      </w:pPr>
      <w:r>
        <w:rPr>
          <w:i/>
        </w:rPr>
        <w:t>As indicated in the text above.</w:t>
      </w:r>
    </w:p>
    <w:p w14:paraId="72A220F1" w14:textId="77777777" w:rsidR="00633A8D" w:rsidRPr="00633A8D" w:rsidRDefault="00633A8D" w:rsidP="006A22D3">
      <w:pPr>
        <w:rPr>
          <w:i/>
        </w:rPr>
      </w:pPr>
    </w:p>
    <w:sectPr w:rsidR="00633A8D" w:rsidRPr="00633A8D" w:rsidSect="009E477E">
      <w:foot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2244" w14:textId="77777777" w:rsidR="00730287" w:rsidRDefault="00730287">
      <w:pPr>
        <w:spacing w:after="0" w:line="240" w:lineRule="auto"/>
      </w:pPr>
      <w:r>
        <w:separator/>
      </w:r>
    </w:p>
  </w:endnote>
  <w:endnote w:type="continuationSeparator" w:id="0">
    <w:p w14:paraId="29850195" w14:textId="77777777" w:rsidR="00730287" w:rsidRDefault="0073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5812362"/>
      <w:docPartObj>
        <w:docPartGallery w:val="Page Numbers (Bottom of Page)"/>
        <w:docPartUnique/>
      </w:docPartObj>
    </w:sdtPr>
    <w:sdtEndPr>
      <w:rPr>
        <w:noProof/>
      </w:rPr>
    </w:sdtEndPr>
    <w:sdtContent>
      <w:p w14:paraId="4A0E66DB" w14:textId="77777777" w:rsidR="00807995" w:rsidRDefault="00807995">
        <w:pPr>
          <w:pStyle w:val="Footer"/>
          <w:jc w:val="right"/>
        </w:pPr>
        <w:r>
          <w:fldChar w:fldCharType="begin"/>
        </w:r>
        <w:r>
          <w:instrText xml:space="preserve"> PAGE   \* MERGEFORMAT </w:instrText>
        </w:r>
        <w:r>
          <w:fldChar w:fldCharType="separate"/>
        </w:r>
        <w:r w:rsidR="00E44B01">
          <w:rPr>
            <w:noProof/>
          </w:rPr>
          <w:t>1</w:t>
        </w:r>
        <w:r>
          <w:rPr>
            <w:noProof/>
          </w:rPr>
          <w:fldChar w:fldCharType="end"/>
        </w:r>
      </w:p>
    </w:sdtContent>
  </w:sdt>
  <w:p w14:paraId="258CAA0A" w14:textId="77777777" w:rsidR="00807995" w:rsidRDefault="00807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F1421" w14:textId="77777777" w:rsidR="00730287" w:rsidRDefault="00730287">
      <w:pPr>
        <w:spacing w:after="0" w:line="240" w:lineRule="auto"/>
      </w:pPr>
      <w:r>
        <w:separator/>
      </w:r>
    </w:p>
  </w:footnote>
  <w:footnote w:type="continuationSeparator" w:id="0">
    <w:p w14:paraId="4954F83A" w14:textId="77777777" w:rsidR="00730287" w:rsidRDefault="007302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F15E2"/>
    <w:multiLevelType w:val="hybridMultilevel"/>
    <w:tmpl w:val="5C06C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2304B6"/>
    <w:multiLevelType w:val="multilevel"/>
    <w:tmpl w:val="582304B6"/>
    <w:lvl w:ilvl="0">
      <w:start w:val="1"/>
      <w:numFmt w:val="lowerRoman"/>
      <w:lvlText w:val="%1)"/>
      <w:lvlJc w:val="left"/>
      <w:pPr>
        <w:ind w:left="2160" w:hanging="72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15:restartNumberingAfterBreak="0">
    <w:nsid w:val="582304C1"/>
    <w:multiLevelType w:val="multilevel"/>
    <w:tmpl w:val="582304C1"/>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82304CC"/>
    <w:multiLevelType w:val="multilevel"/>
    <w:tmpl w:val="582304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823050E"/>
    <w:multiLevelType w:val="singleLevel"/>
    <w:tmpl w:val="5823050E"/>
    <w:lvl w:ilvl="0">
      <w:start w:val="1"/>
      <w:numFmt w:val="bullet"/>
      <w:lvlText w:val=""/>
      <w:lvlJc w:val="left"/>
      <w:pPr>
        <w:tabs>
          <w:tab w:val="left" w:pos="420"/>
        </w:tabs>
        <w:ind w:left="42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characterSpacingControl w:val="doNotCompress"/>
  <w:hdrShapeDefaults>
    <o:shapedefaults v:ext="edit" spidmax="2049" fillcolor="#759cd2" strokecolor="#446188">
      <v:fill color="#759cd2" color2="#a3c5f1" type="gradient">
        <o:fill v:ext="view" type="gradientUnscaled"/>
      </v:fill>
      <v:stroke color="#446188" weight="2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56"/>
    <w:rsid w:val="00087593"/>
    <w:rsid w:val="00155317"/>
    <w:rsid w:val="001A26B4"/>
    <w:rsid w:val="002228CD"/>
    <w:rsid w:val="00294257"/>
    <w:rsid w:val="004B3DAE"/>
    <w:rsid w:val="004B7EFF"/>
    <w:rsid w:val="004D5461"/>
    <w:rsid w:val="00633A8D"/>
    <w:rsid w:val="006A22D3"/>
    <w:rsid w:val="00730287"/>
    <w:rsid w:val="007557B1"/>
    <w:rsid w:val="007720F7"/>
    <w:rsid w:val="00807995"/>
    <w:rsid w:val="008E357E"/>
    <w:rsid w:val="00911B1D"/>
    <w:rsid w:val="00937181"/>
    <w:rsid w:val="009858A6"/>
    <w:rsid w:val="009E477E"/>
    <w:rsid w:val="00A93B9E"/>
    <w:rsid w:val="00AC3FDC"/>
    <w:rsid w:val="00AF1807"/>
    <w:rsid w:val="00BA05DC"/>
    <w:rsid w:val="00D27405"/>
    <w:rsid w:val="00E44B01"/>
    <w:rsid w:val="00E52056"/>
    <w:rsid w:val="00F07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color="#759cd2" strokecolor="#446188">
      <v:fill color="#759cd2" color2="#a3c5f1" type="gradient">
        <o:fill v:ext="view" type="gradientUnscaled"/>
      </v:fill>
      <v:stroke color="#446188" weight="2pt" miterlimit="2"/>
    </o:shapedefaults>
    <o:shapelayout v:ext="edit">
      <o:idmap v:ext="edit" data="1"/>
    </o:shapelayout>
  </w:shapeDefaults>
  <w:decimalSymbol w:val="."/>
  <w:listSeparator w:val=","/>
  <w14:docId w14:val="07C33E55"/>
  <w15:docId w15:val="{B1CFA756-A9B9-4D75-A555-9E04DEA7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basedOn w:val="DefaultParagraphFont"/>
    <w:rPr>
      <w:vertAlign w:val="superscript"/>
    </w:rPr>
  </w:style>
  <w:style w:type="paragraph" w:customStyle="1" w:styleId="ListParagraph1">
    <w:name w:val="List Paragraph1"/>
    <w:basedOn w:val="Normal"/>
    <w:pPr>
      <w:ind w:left="720"/>
      <w:contextualSpacing/>
    </w:pPr>
  </w:style>
  <w:style w:type="paragraph" w:styleId="BalloonText">
    <w:name w:val="Balloon Text"/>
    <w:basedOn w:val="Normal"/>
    <w:link w:val="BalloonTextChar"/>
    <w:uiPriority w:val="99"/>
    <w:semiHidden/>
    <w:unhideWhenUsed/>
    <w:rsid w:val="000875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593"/>
    <w:rPr>
      <w:rFonts w:ascii="Segoe UI" w:eastAsia="Calibri" w:hAnsi="Segoe UI" w:cs="Segoe UI"/>
      <w:sz w:val="18"/>
      <w:szCs w:val="18"/>
      <w:lang w:eastAsia="en-US"/>
    </w:rPr>
  </w:style>
  <w:style w:type="paragraph" w:styleId="Header">
    <w:name w:val="header"/>
    <w:basedOn w:val="Normal"/>
    <w:link w:val="HeaderChar"/>
    <w:uiPriority w:val="99"/>
    <w:unhideWhenUsed/>
    <w:rsid w:val="00D274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405"/>
    <w:rPr>
      <w:rFonts w:ascii="Calibri" w:eastAsia="Calibri" w:hAnsi="Calibri"/>
      <w:sz w:val="22"/>
      <w:szCs w:val="22"/>
      <w:lang w:eastAsia="en-US"/>
    </w:rPr>
  </w:style>
  <w:style w:type="paragraph" w:styleId="Footer">
    <w:name w:val="footer"/>
    <w:basedOn w:val="Normal"/>
    <w:link w:val="FooterChar"/>
    <w:uiPriority w:val="99"/>
    <w:unhideWhenUsed/>
    <w:rsid w:val="00D274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405"/>
    <w:rPr>
      <w:rFonts w:ascii="Calibri" w:eastAsia="Calibri" w:hAnsi="Calibri"/>
      <w:sz w:val="22"/>
      <w:szCs w:val="22"/>
      <w:lang w:eastAsia="en-US"/>
    </w:rPr>
  </w:style>
  <w:style w:type="paragraph" w:styleId="Revision">
    <w:name w:val="Revision"/>
    <w:hidden/>
    <w:uiPriority w:val="99"/>
    <w:semiHidden/>
    <w:rsid w:val="002228CD"/>
    <w:pPr>
      <w:spacing w:after="0" w:line="240" w:lineRule="auto"/>
    </w:pPr>
    <w:rPr>
      <w:rFonts w:ascii="Calibri" w:eastAsia="Calibri" w:hAnsi="Calibri"/>
      <w:sz w:val="22"/>
      <w:szCs w:val="22"/>
      <w:lang w:eastAsia="en-US"/>
    </w:rPr>
  </w:style>
  <w:style w:type="paragraph" w:styleId="ListParagraph">
    <w:name w:val="List Paragraph"/>
    <w:basedOn w:val="Normal"/>
    <w:uiPriority w:val="34"/>
    <w:qFormat/>
    <w:rsid w:val="00AC3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1617 po186_02  TEMPLATE  GUARDIAN ANUAL REPORT</vt:lpstr>
    </vt:vector>
  </TitlesOfParts>
  <Company>NHS Confed</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1617 po186_02  TEMPLATE  GUARDIAN ANUAL REPORT</dc:title>
  <dc:creator>Gareth Jones</dc:creator>
  <cp:lastModifiedBy>Danielle Lindley</cp:lastModifiedBy>
  <cp:revision>2</cp:revision>
  <dcterms:created xsi:type="dcterms:W3CDTF">2021-05-05T15:11:00Z</dcterms:created>
  <dcterms:modified xsi:type="dcterms:W3CDTF">2021-05-05T15:11:00Z</dcterms:modified>
</cp:coreProperties>
</file>